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0" Type="http://schemas.openxmlformats.org/officeDocument/2006/relationships/extended-properties" Target="docProps/app.xml"/><Relationship Id="rId2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17.12.2021 N 894</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17 декабря 2021 г. N 894</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РЕКОМЕНДАЦИЙ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РАЗМЕЩЕНИЮ РАБОТОДАТЕЛЕМ ИНФОРМАЦИОННЫХ МАТЕРИАЛОВ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ЦЕЛЯХ ИНФОРМИРОВАНИЯ РАБОТНИКОВ ОБ ИХ ТРУДОВЫХ ПРАВАХ,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ВКЛЮЧАЯ ПРАВО НА БЕЗОПАСНЫЕ УСЛОВИЯ И ОХРАНУ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4">
        <w:r>
          <w:rPr>
            <w:b w:val="false"/>
            <w:rFonts w:ascii="Times New Roman" w:eastAsia="Times New Roman" w:hAnsi="Times New Roman" w:cs="Times New Roman"/>
            <w:sz w:val="24"/>
            <w:i w:val="false"/>
            <w:strike w:val="false"/>
            <w:color w:val="0000ff"/>
          </w:rPr>
          <w:t xml:space="preserve">частью четвертой статьи 216.2</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 и </w:t>
      </w:r>
      <w:hyperlink r:id="rId5">
        <w:r>
          <w:rPr>
            <w:b w:val="false"/>
            <w:rFonts w:ascii="Times New Roman" w:eastAsia="Times New Roman" w:hAnsi="Times New Roman" w:cs="Times New Roman"/>
            <w:sz w:val="24"/>
            <w:i w:val="false"/>
            <w:strike w:val="false"/>
            <w:color w:val="0000ff"/>
          </w:rPr>
          <w:t xml:space="preserve">подпунктом 5.2.19(1) пункта 5</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6">
        <w:r>
          <w:rPr>
            <w:b w:val="false"/>
            <w:rFonts w:ascii="Times New Roman" w:eastAsia="Times New Roman" w:hAnsi="Times New Roman" w:cs="Times New Roman"/>
            <w:sz w:val="24"/>
            <w:i w:val="false"/>
            <w:strike w:val="false"/>
            <w:color w:val="0000ff"/>
          </w:rPr>
          <w:t xml:space="preserve">рекомендации</w:t>
        </w:r>
      </w:hyperlink>
      <w:r>
        <w:rPr>
          <w:b w:val="false"/>
          <w:rFonts w:ascii="Times New Roman" w:eastAsia="Times New Roman" w:hAnsi="Times New Roman" w:cs="Times New Roman"/>
          <w:sz w:val="24"/>
          <w:i w:val="false"/>
          <w:strike w:val="false"/>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 силу </w:t>
      </w:r>
      <w:hyperlink r:id="rId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Установить, что настоящий приказ вступает в силу с 1 марта 2022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17 декабря 2021 г. N 894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29"/>
      <w:bookmarkEnd w:id="1"/>
      <w:r>
        <w:rPr>
          <w:b w:val="true"/>
          <w:rFonts w:ascii="Arial" w:eastAsia="Arial" w:hAnsi="Arial" w:cs="Arial"/>
          <w:sz w:val="24"/>
          <w:i w:val="false"/>
          <w:strike w:val="false"/>
        </w:rPr>
        <w:t xml:space="preserve">РЕКОМЕНДАЦИИ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РАЗМЕЩЕНИЮ РАБОТОДАТЕЛЕМ ИНФОРМАЦИОННЫХ МАТЕРИАЛОВ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ЦЕЛЯХ ИНФОРМИРОВАНИЯ РАБОТНИКОВ ОБ ИХ ТРУДОВЫХ ПРАВАХ,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ВКЛЮЧАЯ ПРАВО НА БЕЗОПАСНЫЕ УСЛОВИЯ И ОХРАНУ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настоящих рекомендациях приведен примерный порядок размещения работодателем 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39"/>
      <w:bookmarkEnd w:id="2"/>
      <w:r>
        <w:rPr>
          <w:b w:val="false"/>
          <w:rFonts w:ascii="Times New Roman" w:eastAsia="Times New Roman" w:hAnsi="Times New Roman" w:cs="Times New Roman"/>
          <w:sz w:val="24"/>
          <w:i w:val="false"/>
          <w:strike w:val="false"/>
        </w:rPr>
        <w:t xml:space="preserve">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размещение на внутреннем корпоративном веб-портале или веб-сайте работодателя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рассылка по электронной почте/проведение онлайн-опросов;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проведение телефонных интервью;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проведение собеседований.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Работодатель может осуществлять указанные в </w:t>
      </w:r>
      <w:hyperlink r:id="rId8">
        <w:r>
          <w:rPr>
            <w:b w:val="false"/>
            <w:rFonts w:ascii="Times New Roman" w:eastAsia="Times New Roman" w:hAnsi="Times New Roman" w:cs="Times New Roman"/>
            <w:sz w:val="24"/>
            <w:i w:val="false"/>
            <w:strike w:val="false"/>
            <w:color w:val="0000ff"/>
          </w:rPr>
          <w:t xml:space="preserve">пункте 4</w:t>
        </w:r>
      </w:hyperlink>
      <w:r>
        <w:rPr>
          <w:b w:val="false"/>
          <w:rFonts w:ascii="Times New Roman" w:eastAsia="Times New Roman" w:hAnsi="Times New Roman" w:cs="Times New Roman"/>
          <w:sz w:val="24"/>
          <w:i w:val="false"/>
          <w:strike w:val="false"/>
        </w:rPr>
        <w:t xml:space="preserve">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охват целевой аудитории: сколько работников проинформировано о своих трудовых правах (в абсолютных или относительных величинах);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тираж печатных материалов (или их количество) с информацией о трудовых правах работников,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Рекомендации по организации тиражирования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(распространения) печатной продукции и видеоматериалов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положений законодательства о защите персональных данных, а также транслировать в социальных сетях.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Рекомендации по организации взаимодействия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работниками в целях информирования о трудовых правах,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включая право на безопасные условия и охрану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При проведении онлайн-опросов,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9">
        <w:r>
          <w:rPr>
            <w:b w:val="false"/>
            <w:rFonts w:ascii="Times New Roman" w:eastAsia="Times New Roman" w:hAnsi="Times New Roman" w:cs="Times New Roman"/>
            <w:sz w:val="24"/>
            <w:i w:val="false"/>
            <w:strike w:val="false"/>
            <w:color w:val="0000ff"/>
          </w:rPr>
          <w:t xml:space="preserve">Статья 7</w:t>
        </w:r>
      </w:hyperlink>
      <w:r>
        <w:rPr>
          <w:b w:val="false"/>
          <w:rFonts w:ascii="Times New Roman" w:eastAsia="Times New Roman" w:hAnsi="Times New Roman" w:cs="Times New Roman"/>
          <w:sz w:val="24"/>
          <w:i w:val="false"/>
          <w:strike w:val="false"/>
        </w:rPr>
        <w:t xml:space="preserve"> Федерального закона от 27 июля 2006 г. N 152-ФЗ "О персональных данных" (Собрание законодательства Российской Федерации, 2006, N 31, ст. 3451).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Рекомендации по организации работы кабинета охраны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или уголка охраны труда у работодателя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в его структурных подразделениях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Кабинет охраны труда или уголок охраны труда рекомендуется создавать в целях обеспечения соблюдения требований охраны труда, информирования работников о требованиях охраны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представлять собой стенд, витрину (проектор) или телевизионную панель с видеосвязью, компьютер со встроенной программой (системой).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Работу кабинета охраны труда и уголка охраны труда рекомендуется обеспечивать в рамках функционирования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Организацию и руководство работой кабинета охраны труда и уголка охраны труда, в том числе контроль за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При осуществлении деятельности кабинета охраны труда и уголка охраны труда обеспечивается: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оказание помощи руководителям структурных подразделений работодателя и работникам в обеспечении выполнения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пропаганда вопросов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90"/>
      <w:bookmarkEnd w:id="3"/>
      <w:r>
        <w:rPr>
          <w:b w:val="false"/>
          <w:rFonts w:ascii="Times New Roman" w:eastAsia="Times New Roman" w:hAnsi="Times New Roman" w:cs="Times New Roman"/>
          <w:sz w:val="24"/>
          <w:i w:val="false"/>
          <w:strike w:val="false"/>
        </w:rPr>
        <w:t xml:space="preserve">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обучение по охране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Деятельность уголка охраны труда обеспечивает в зависимости от уровня оснащенности выполнение отдельных или всех мероприятий, предусмотренных </w:t>
      </w:r>
      <w:hyperlink r:id="rId10">
        <w:r>
          <w:rPr>
            <w:b w:val="false"/>
            <w:rFonts w:ascii="Times New Roman" w:eastAsia="Times New Roman" w:hAnsi="Times New Roman" w:cs="Times New Roman"/>
            <w:sz w:val="24"/>
            <w:i w:val="false"/>
            <w:strike w:val="false"/>
            <w:color w:val="0000ff"/>
          </w:rPr>
          <w:t xml:space="preserve">пунктом 20</w:t>
        </w:r>
      </w:hyperlink>
      <w:r>
        <w:rPr>
          <w:b w:val="false"/>
          <w:rFonts w:ascii="Times New Roman" w:eastAsia="Times New Roman" w:hAnsi="Times New Roman" w:cs="Times New Roman"/>
          <w:sz w:val="24"/>
          <w:i w:val="false"/>
          <w:strike w:val="false"/>
        </w:rPr>
        <w:t xml:space="preserve"> для кабинета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Деятельность уголка охраны труда структурного подразделения (участка) работодателя обеспечивает доведение до работников информации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трудовых правах работников,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планах работы кабинета охраны труда (при наличии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графиках проведения инструктажей по охране труда и расписаниях учебных занятий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приказах и распоряжениях по вопросам охраны труда у работодателя, планах мероприятий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выявленных вредных и опасных производственных факторах и имеющихся средствах индивидуальной и коллективной защиты на рабочих местах структурного подразделения (участка);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выявленных нарушениях требований законодательства об охране труда и принятых мерах по их устранению;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случаях производственного травматизма и профзаболеваний у работодателя и в его структурных подразделениях и принятых мерах по устранению их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новых поступлениях документов, учебно-методической литературы, учебных видеофильмов по охране труда и других документов и материалов в кабинет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Тематическая структура и оснащение кабинета охраны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уголка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В тематическую структуру оснащения кабинета охраны труда и уголка охраны труда рекомендуется включать общий и специальные разделы.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 и индивидуальной защиты, действиях человека при возникновении чрезвычайных ситуаций, аварий.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компьютерная продукция, программы радиовещания, натурные образцы, тренажеры, манекены и макеты.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Оценку необходимой площади для кабинета охраны труда рекомендуется производить на основе расчета потребности в обучении по охране труда на календарный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Для организации уголка охраны труда рекомендуется выделять либо отдельное помещение, либо оборудовать часть помещения общего назначения.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При организации работы кабинета охраны труда и уголка охраны труда рекомендуется учитывать: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В целях эффективной работы кабинета охраны труда (уголка охраны труда) рекомендуется: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контроля за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эффективности работы кабинетов охраны труда и уголков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3"/>
      <w:footerReference w:type="default" r:id="rId15"/>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17.12.2021 N 894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рекомендаций по размещению работодателем информационных матер...</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728&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163&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29%20%20\o%20&#1056;&#1045;&#1050;&#1054;&#1052;&#1045;&#1053;&#1044;&#1040;&#1062;&#1048;&#1048;" TargetMode="External"/><Relationship Id="rId7" Type="http://schemas.openxmlformats.org/officeDocument/2006/relationships/hyperlink" Target="https://login.consultant.ru/link/?req=doc&amp;base=LAW&amp;n=30107&amp;date=12.02.2025%20\o%20&#1055;&#1086;&#1089;&#1090;&#1072;&#1085;&#1086;&#1074;&#1083;&#1077;&#1085;&#1080;&#1077;%20&#1052;&#1080;&#1085;&#1090;&#1088;&#1091;&#1076;&#1072;%20&#1056;&#1060;%20&#1086;&#1090;%2017.01.2001%20N%207%20\&#1054;&#1073;%20&#1091;&#1090;&#1074;&#1077;&#1088;&#1078;&#1076;&#1077;&#1085;&#1080;&#1080;%20&#1056;&#1077;&#1082;&#1086;&#1084;&#1077;&#1085;&#1076;&#1072;&#1094;&#1080;&#1081;%20&#1087;&#1086;%20&#1086;&#1088;&#1075;&#1072;&#1085;&#1080;&#1079;&#1072;&#1094;&#1080;&#1080;%20&#1088;&#1072;&#1073;&#1086;&#1090;&#1099;%20&#1082;&#1072;&#1073;&#1080;&#1085;&#1077;&#1090;&#1072;%20&#1086;&#1093;&#1088;&#1072;&#1085;&#1099;%20&#1090;&#1088;&#1091;&#1076;&#1072;%20&#1080;%20&#1091;&#1075;&#1086;&#1083;&#1082;&#1072;%20&#1086;&#1093;&#1088;&#1072;&#1085;&#1099;%20&#1090;&#1088;&#1091;&#1076;&#1072;\&lt;w:br%20w:type=textWrapping%20w:clear=none/&gt;------------%20&#1059;&#1090;&#1088;&#1072;&#1090;&#1080;&#1083;%20&#1089;&#1080;&#1083;&#1091;%20&#1080;&#1083;&#1080;%20&#1086;&#1090;&#1084;&#1077;&#1085;&#1077;&#1085;&lt;w:br%20w:type=textWrapping%20w:clear=none/&gt;{&#1050;&#1086;&#1085;&#1089;&#1091;&#1083;&#1100;&#1090;&#1072;&#1085;&#1090;&#1055;&#1083;&#1102;&#1089;}" TargetMode="External"/><Relationship Id="rId8" Type="http://schemas.openxmlformats.org/officeDocument/2006/relationships/hyperlink" Target="\l%20Par39%20%20\o%204.%20&#1056;&#1072;&#1073;&#1086;&#1090;&#1086;&#1076;&#1072;&#1090;&#1077;&#1083;&#1080;%20&#1084;&#1086;&#1075;&#1091;&#1090;%20&#1088;&#1072;&#1079;&#1084;&#1077;&#1097;&#1072;&#1090;&#1100;%20&#1080;&#1085;&#1092;&#1086;&#1088;&#1084;&#1072;&#1094;&#1080;&#1086;&#1085;&#1085;&#1099;&#1077;%20&#1084;&#1072;&#1090;&#1077;&#1088;&#1080;&#1072;&#1083;&#1099;%20&#1074;%20&#1094;&#1077;&#1083;&#1103;&#1093;%20&#1080;&#1085;&#1092;&#1086;&#1088;&#1084;&#1080;&#1088;&#1086;&#1074;&#1072;&#1085;&#1080;&#1103;%20&#1088;&#1072;&#1073;&#1086;&#1090;&#1085;&#1080;&#1082;&#1086;&#1074;%20&#1086;&#1073;%20&#1080;&#1093;%20&#1090;&#1088;&#1091;&#1076;&#1086;&#1074;&#1099;&#1093;%20&#1087;&#1088;&#1072;&#1074;&#1072;&#1093;,%20&#1074;&#1082;&#1083;&#1102;&#1095;&#1072;&#1103;%20&#1087;&#1088;&#1072;&#1074;&#1086;%20&#1085;&#1072;%20&#1073;&#1077;&#1079;&#1086;&#1087;&#1072;&#1089;&#1085;&#1099;&#1077;%20&#1091;&#1089;&#1083;&#1086;&#1074;&#1080;&#1103;%20&#1080;%20&#1086;&#1093;&#1088;&#1072;&#1085;&#1091;%20&#1090;&#1088;&#1091;&#1076;&#1072;,%20&#1083;&#1102;&#1073;&#1099;&#1084;&#1080;%20&#1087;&#1077;&#1088;&#1077;&#1095;&#1080;&#1089;&#1083;&#1077;&#1085;&#1085;&#1099;&#1084;&#1080;%20&#1089;&#1087;&#1086;&#1089;&#1086;&#1073;&#1072;&#1084;&#1080;:" TargetMode="External"/><Relationship Id="rId9" Type="http://schemas.openxmlformats.org/officeDocument/2006/relationships/hyperlink" Target="https://login.consultant.ru/link/?req=doc&amp;base=LAW&amp;n=482686&amp;date=12.02.2025&amp;dst=100274&amp;field=134%20\o%20&#1060;&#1077;&#1076;&#1077;&#1088;&#1072;&#1083;&#1100;&#1085;&#1099;&#1081;%20&#1079;&#1072;&#1082;&#1086;&#1085;%20&#1086;&#1090;%2027.07.2006%20N%20152-&#1060;&#1047;%20(&#1088;&#1077;&#1076;.%20&#1086;&#1090;%2008.08.2024)%20\&#1054;%20&#1087;&#1077;&#1088;&#1089;&#1086;&#1085;&#1072;&#1083;&#1100;&#1085;&#1099;&#1093;%20&#1076;&#1072;&#1085;&#1085;&#1099;&#1093;\&lt;w:br%20w:type=textWrapping%20w:clear=none/&gt;{&#1050;&#1086;&#1085;&#1089;&#1091;&#1083;&#1100;&#1090;&#1072;&#1085;&#1090;&#1055;&#1083;&#1102;&#1089;}" TargetMode="External"/><Relationship Id="rId10" Type="http://schemas.openxmlformats.org/officeDocument/2006/relationships/hyperlink" Target="\l%20Par90%20%20\o%2020.%20&#1044;&#1077;&#1103;&#1090;&#1077;&#1083;&#1100;&#1085;&#1086;&#1089;&#1090;&#1100;%20&#1082;&#1072;&#1073;&#1080;&#1085;&#1077;&#1090;&#1072;%20&#1086;&#1093;&#1088;&#1072;&#1085;&#1099;%20&#1090;&#1088;&#1091;&#1076;&#1072;%20&#1086;&#1073;&#1077;&#1089;&#1087;&#1077;&#1095;&#1080;&#1074;&#1072;&#1077;&#1090;%20&#1088;&#1077;&#1072;&#1083;&#1080;&#1079;&#1072;&#1094;&#1080;&#1102;%20&#1089;&#1083;&#1077;&#1076;&#1091;&#1102;&#1097;&#1080;&#1093;%20&#1084;&#1077;&#1088;&#1086;&#1087;&#1088;&#1080;&#1103;&#1090;&#1080;&#1081;%20&#1087;&#1086;%20&#1086;&#1093;&#1088;&#1072;&#1085;&#1077;%20&#1090;&#1088;&#1091;&#1076;&#1072;,%20&#1074;%20&#1090;&#1086;&#1084;%20&#1095;&#1080;&#1089;&#1083;&#1077;%20&#1074;%20&#1088;&#1072;&#1084;&#1082;&#1072;&#1093;%20&#1089;&#1080;&#1089;&#1090;&#1077;&#1084;&#1099;%20&#1091;&#1087;&#1088;&#1072;&#1074;&#1083;&#1077;&#1085;&#1080;&#1103;%20&#1086;&#1093;&#1088;&#1072;&#1085;&#1086;&#1081;%20&#1090;&#1088;&#1091;&#1076;&#1072;%20&#1091;%20&#1088;&#1072;&#1073;&#1086;&#1090;&#1086;&#1076;&#1072;&#1090;&#1077;&#1083;&#1103;,%20&#1072;%20&#1090;&#1072;&#1082;&#1078;&#1077;%20&#1086;&#1088;&#1075;&#1072;&#1085;&#1080;&#1079;&#1091;&#1077;&#1084;&#1099;&#1093;%20&#1089;&#1086;&#1074;&#1084;&#1077;&#1089;&#1090;&#1085;&#1099;&#1084;&#1080;%20&#1076;&#1077;&#1081;&#1089;&#1090;&#1074;&#1080;&#1103;&#1084;&#1080;%20&#1088;&#1091;&#1082;&#1086;&#1074;&#1086;&#1076;&#1089;&#1090;&#1074;&#1072;%20&#1080;%20&#1080;&#1085;&#1099;&#1093;%20&#1076;&#1086;&#1083;&#1078;&#1085;&#1086;&#1089;&#1090;&#1085;&#1099;&#1093;%20&#1083;&#1080;&#1094;%20&#1088;&#1072;&#1073;&#1086;&#1090;&#1086;&#1076;&#1072;&#1090;&#1077;&#1083;&#1103;,%20&#1082;&#1086;&#1084;&#1080;&#1090;&#1077;&#1090;&#1072;%20(&#1082;&#1086;&#1084;&#1080;&#1089;&#1089;&#1080;&#1080;)%20&#1087;&#1086;%20&#1086;&#1093;&#1088;&#1072;&#1085;&#1077;%20&#1090;&#1088;&#1091;&#1076;&#1072;,%20&#1089;&#1083;&#1091;&#1078;&#1073;&#1099;%20&#1086;&#1093;&#1088;&#1072;&#1085;&#1099;%20&#1090;&#1088;&#1091;&#1076;&#1072;%20&#1080;&#1083;&#1080;%20&#1089;&#1087;&#1077;&#1094;&#1080;&#1072;&#1083;&#1080;&#1089;&#1090;&#1072;%20&#1087;&#1086;%20&#1086;&#1093;&#1088;&#1072;&#1085;&#1077;%20&#1090;&#1088;&#1091;&#1076;&#1072;,%20&#1091;&#1087;&#1086;&#1083;&#1085;&#1086;&#1084;&#1086;&#1095;&#1077;&#1085;&#1085;&#1099;&#1093;%20(&#1076;&#1086;&#1074;&#1077;&#1088;&#1077;&#1085;&#1085;&#1099;&#1093;)%20&#1083;&#1080;&#1094;%20&#1087;&#1086;%20&#1086;&#1093;&#1088;&#1072;&#1085;&#1077;%20&#1090;&#1088;&#1091;&#1076;&#1072;%20&#1087;&#1088;&#1086;&#1092;&#1077;&#1089;&#1089;&#1080;&#1086;&#1085;&#1072;&#1083;&#1100;&#1085;&#1099;&#1093;%20&#1089;&#1086;&#1102;&#1079;&#1086;&#1074;%20&#1080;&#1083;&#1080;%20&#1080;&#1085;&#1099;&#1093;%20&#1091;&#1087;&#1086;&#1083;&#1085;&#1086;&#1084;&#1086;&#1095;&#1077;&#1085;&#1085;&#1099;&#1093;%20&#1088;&#1072;&#1073;&#1086;&#1090;&#1085;&#1080;&#1082;&#1072;&#1084;&#1080;%20&#1087;&#1088;&#1077;&#1076;&#1089;&#1090;&#1072;&#1074;&#1080;&#1090;&#1077;&#1083;&#1100;&#1085;&#1099;&#1093;%20&#1086;&#1088;&#1075;&#1072;&#1085;&#1086;&#1074;:" TargetMode="External"/><Relationship Id="rId11" Type="http://schemas.openxmlformats.org/officeDocument/2006/relationships/theme" Target="theme/theme1.xml"/><Relationship Id="rId13"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notes" Target="footnotes.xml"/><Relationship Id="rId17" Type="http://schemas.openxmlformats.org/officeDocument/2006/relationships/endnotes" Target="endnotes.xml"/><Relationship Id="rId18" Type="http://schemas.openxmlformats.org/officeDocument/2006/relationships/styles" Target="styles.xml"/><Relationship Id="rId19" Type="http://schemas.openxmlformats.org/officeDocument/2006/relationships/fontTable" Target="fontTable.xml"/><Relationship Id="rId22" Type="http://schemas.openxmlformats.org/officeDocument/2006/relationships/settings" Target="settings.xml"/></Relationships>
</file>

<file path=word/_rels/footer1.xml.rels><?xml version="1.0" encoding="UTF-8" standalone="yes"?>
<Relationships xmlns="http://schemas.openxmlformats.org/package/2006/relationships"><Relationship Id="rId14"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2"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17.12.2021 N 894"Об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dc:title>
</cp:coreProperties>
</file>