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3" Type="http://schemas.openxmlformats.org/officeDocument/2006/relationships/extended-properties" Target="docProps/app.xml"/><Relationship Id="rId24"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Минтруда России от 15.09.2021 N 632н</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рекомендаций по учету микроповреждений (микротравм) работников"</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ТРУДА И СОЦИАЛЬНОЙ ЗАЩИТЫ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15 сентября 2021 г. N 632н</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РЕКОМЕНДАЦИЙ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УЧЕТУ МИКРОПОВРЕЖДЕНИЙ (МИКРОТРАВМ) РАБОТНИКОВ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со </w:t>
      </w:r>
      <w:hyperlink r:id="rId4">
        <w:r>
          <w:rPr>
            <w:b w:val="false"/>
            <w:rFonts w:ascii="Times New Roman" w:eastAsia="Times New Roman" w:hAnsi="Times New Roman" w:cs="Times New Roman"/>
            <w:sz w:val="24"/>
            <w:i w:val="false"/>
            <w:strike w:val="false"/>
            <w:color w:val="0000ff"/>
          </w:rPr>
          <w:t xml:space="preserve">статьей 226</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 и </w:t>
      </w:r>
      <w:hyperlink r:id="rId5">
        <w:r>
          <w:rPr>
            <w:b w:val="false"/>
            <w:rFonts w:ascii="Times New Roman" w:eastAsia="Times New Roman" w:hAnsi="Times New Roman" w:cs="Times New Roman"/>
            <w:sz w:val="24"/>
            <w:i w:val="false"/>
            <w:strike w:val="false"/>
            <w:color w:val="0000ff"/>
          </w:rPr>
          <w:t xml:space="preserve">пунктом 1</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2017, N 7, ст. 1093),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прилагаемые </w:t>
      </w:r>
      <w:hyperlink r:id="rId6">
        <w:r>
          <w:rPr>
            <w:b w:val="false"/>
            <w:rFonts w:ascii="Times New Roman" w:eastAsia="Times New Roman" w:hAnsi="Times New Roman" w:cs="Times New Roman"/>
            <w:sz w:val="24"/>
            <w:i w:val="false"/>
            <w:strike w:val="false"/>
            <w:color w:val="0000ff"/>
          </w:rPr>
          <w:t xml:space="preserve">рекомендации</w:t>
        </w:r>
      </w:hyperlink>
      <w:r>
        <w:rPr>
          <w:b w:val="false"/>
          <w:rFonts w:ascii="Times New Roman" w:eastAsia="Times New Roman" w:hAnsi="Times New Roman" w:cs="Times New Roman"/>
          <w:sz w:val="24"/>
          <w:i w:val="false"/>
          <w:strike w:val="false"/>
        </w:rPr>
        <w:t xml:space="preserve"> по учету микроповреждений (микротравм)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Установить, что настоящий приказ вступает в силу с 1 марта 2022 года.</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А.КОТЯКОВ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 сентября 2021 г. N 632н</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26"/>
      <w:bookmarkEnd w:id="1"/>
      <w:r>
        <w:rPr>
          <w:b w:val="true"/>
          <w:rFonts w:ascii="Arial" w:eastAsia="Arial" w:hAnsi="Arial" w:cs="Arial"/>
          <w:sz w:val="24"/>
          <w:i w:val="false"/>
          <w:strike w:val="false"/>
        </w:rPr>
        <w:t xml:space="preserve">РЕКОМЕНДАЦИИ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УЧЕТУ МИКРОПОВРЕЖДЕНИЙ (МИКРОТРАВМ) РАБОТНИКОВ</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Настоящие рекомендации по учету микроповреждений (микротравм) работников (далее - Рекомендации) разработаны в целях оказания содействия работодателям в исполнении требований </w:t>
      </w:r>
      <w:hyperlink r:id="rId7">
        <w:r>
          <w:rPr>
            <w:b w:val="false"/>
            <w:rFonts w:ascii="Times New Roman" w:eastAsia="Times New Roman" w:hAnsi="Times New Roman" w:cs="Times New Roman"/>
            <w:sz w:val="24"/>
            <w:i w:val="false"/>
            <w:strike w:val="false"/>
            <w:color w:val="0000ff"/>
          </w:rPr>
          <w:t xml:space="preserve">статей 214</w:t>
        </w:r>
      </w:hyperlink>
      <w:r>
        <w:rPr>
          <w:b w:val="false"/>
          <w:rFonts w:ascii="Times New Roman" w:eastAsia="Times New Roman" w:hAnsi="Times New Roman" w:cs="Times New Roman"/>
          <w:sz w:val="24"/>
          <w:i w:val="false"/>
          <w:strike w:val="false"/>
        </w:rPr>
        <w:t xml:space="preserve">, </w:t>
      </w:r>
      <w:hyperlink r:id="rId8">
        <w:r>
          <w:rPr>
            <w:b w:val="false"/>
            <w:rFonts w:ascii="Times New Roman" w:eastAsia="Times New Roman" w:hAnsi="Times New Roman" w:cs="Times New Roman"/>
            <w:sz w:val="24"/>
            <w:i w:val="false"/>
            <w:strike w:val="false"/>
            <w:color w:val="0000ff"/>
          </w:rPr>
          <w:t xml:space="preserve">216</w:t>
        </w:r>
      </w:hyperlink>
      <w:r>
        <w:rPr>
          <w:b w:val="false"/>
          <w:rFonts w:ascii="Times New Roman" w:eastAsia="Times New Roman" w:hAnsi="Times New Roman" w:cs="Times New Roman"/>
          <w:sz w:val="24"/>
          <w:i w:val="false"/>
          <w:strike w:val="false"/>
        </w:rPr>
        <w:t xml:space="preserve">, </w:t>
      </w:r>
      <w:hyperlink r:id="rId4">
        <w:r>
          <w:rPr>
            <w:b w:val="false"/>
            <w:rFonts w:ascii="Times New Roman" w:eastAsia="Times New Roman" w:hAnsi="Times New Roman" w:cs="Times New Roman"/>
            <w:sz w:val="24"/>
            <w:i w:val="false"/>
            <w:strike w:val="false"/>
            <w:color w:val="0000ff"/>
          </w:rPr>
          <w:t xml:space="preserve">226 раздела X</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 совершенствования внутренних процессов управления охраной труда в организации, предупреждения производственного травматизма и не содержат обязательных требований.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Учет микроповреждений (микротравм) работников рекомендуется осуществлять посредством сбора и регистрации информации о микроповреждениях (микротравмах).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Учет микроповреждений (микротравм) работников позволит работодателю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Учет микроповреждений (микротравм) работников осуществляется работодателем самостоятельно исходя из специфики своей деятельности, достижений современной науки и наилучших практик, принятых на себя обязательств.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работодателю рекомендуется: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утвердить локальным нормативным актом порядок учета микроповреждений (микротравм) работников, с учетом особенностей организационной структуры, специфики, характера производственной деятельности, принятым с соблюдением установленного </w:t>
      </w:r>
      <w:hyperlink r:id="rId9">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2006, N 27, ст. 2878) порядка учета мнения представительного органа работников (при наличии такого представительного органа);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организовать ознакомление должностных лиц с порядком учета микроповреждений (микротравм)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организовать информирование работников о действиях при получении микроповреждения (микротравмы);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организовать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(рекомендуемый образец приведен в </w:t>
      </w:r>
      <w:hyperlink r:id="rId10">
        <w:r>
          <w:rPr>
            <w:b w:val="false"/>
            <w:rFonts w:ascii="Times New Roman" w:eastAsia="Times New Roman" w:hAnsi="Times New Roman" w:cs="Times New Roman"/>
            <w:sz w:val="24"/>
            <w:i w:val="false"/>
            <w:strike w:val="false"/>
            <w:color w:val="0000ff"/>
          </w:rPr>
          <w:t xml:space="preserve">приложении N 1</w:t>
        </w:r>
      </w:hyperlink>
      <w:r>
        <w:rPr>
          <w:b w:val="false"/>
          <w:rFonts w:ascii="Times New Roman" w:eastAsia="Times New Roman" w:hAnsi="Times New Roman" w:cs="Times New Roman"/>
          <w:sz w:val="24"/>
          <w:i w:val="false"/>
          <w:strike w:val="false"/>
        </w:rPr>
        <w:t xml:space="preserve"> к настоящим Рекомендациям) или ином определенном работодателем документе, содержащем, в том числе рекомендуемые сведения, отраженные в Справке о рассмотрении обстоятельств и причин, приведших к возникновению микроповреждения (микротравмы) работника (далее - Справка);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обеспечить доступность в организации (структурных подразделениях) бланка Справки в электронном виде или на бумажном носителе;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организовать регистрацию происшедших микроповреждений (микротравм) в Журнале учета микроповреждений (микротравм) работников (рекомендуемый образец приведен в </w:t>
      </w:r>
      <w:hyperlink r:id="rId11">
        <w:r>
          <w:rPr>
            <w:b w:val="false"/>
            <w:rFonts w:ascii="Times New Roman" w:eastAsia="Times New Roman" w:hAnsi="Times New Roman" w:cs="Times New Roman"/>
            <w:sz w:val="24"/>
            <w:i w:val="false"/>
            <w:strike w:val="false"/>
            <w:color w:val="0000ff"/>
          </w:rPr>
          <w:t xml:space="preserve">приложении N 2</w:t>
        </w:r>
      </w:hyperlink>
      <w:r>
        <w:rPr>
          <w:b w:val="false"/>
          <w:rFonts w:ascii="Times New Roman" w:eastAsia="Times New Roman" w:hAnsi="Times New Roman" w:cs="Times New Roman"/>
          <w:sz w:val="24"/>
          <w:i w:val="false"/>
          <w:strike w:val="false"/>
        </w:rPr>
        <w:t xml:space="preserve"> к настоящим Рекомендациям) или ином определенном работодателем документе, содержащем, в том числе рекомендуемые сведения, отраженные в Журнале учета микроповреждения (микротравм) работников (далее - Журнал);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установить место и сроки хранения </w:t>
      </w:r>
      <w:hyperlink r:id="rId10">
        <w:r>
          <w:rPr>
            <w:b w:val="false"/>
            <w:rFonts w:ascii="Times New Roman" w:eastAsia="Times New Roman" w:hAnsi="Times New Roman" w:cs="Times New Roman"/>
            <w:sz w:val="24"/>
            <w:i w:val="false"/>
            <w:strike w:val="false"/>
            <w:color w:val="0000ff"/>
          </w:rPr>
          <w:t xml:space="preserve">Справки</w:t>
        </w:r>
      </w:hyperlink>
      <w:r>
        <w:rPr>
          <w:b w:val="false"/>
          <w:rFonts w:ascii="Times New Roman" w:eastAsia="Times New Roman" w:hAnsi="Times New Roman" w:cs="Times New Roman"/>
          <w:sz w:val="24"/>
          <w:i w:val="false"/>
          <w:strike w:val="false"/>
        </w:rPr>
        <w:t xml:space="preserve"> и </w:t>
      </w:r>
      <w:hyperlink r:id="rId11">
        <w:r>
          <w:rPr>
            <w:b w:val="false"/>
            <w:rFonts w:ascii="Times New Roman" w:eastAsia="Times New Roman" w:hAnsi="Times New Roman" w:cs="Times New Roman"/>
            <w:sz w:val="24"/>
            <w:i w:val="false"/>
            <w:strike w:val="false"/>
            <w:color w:val="0000ff"/>
          </w:rPr>
          <w:t xml:space="preserve">Журнала</w:t>
        </w:r>
      </w:hyperlink>
      <w:r>
        <w:rPr>
          <w:b w:val="false"/>
          <w:rFonts w:ascii="Times New Roman" w:eastAsia="Times New Roman" w:hAnsi="Times New Roman" w:cs="Times New Roman"/>
          <w:sz w:val="24"/>
          <w:i w:val="false"/>
          <w:strike w:val="false"/>
        </w:rPr>
        <w:t xml:space="preserve">. Рекомендованный срок хранения Справки и Журнала составляет не менее 1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Составление </w:t>
      </w:r>
      <w:hyperlink r:id="rId10">
        <w:r>
          <w:rPr>
            <w:b w:val="false"/>
            <w:rFonts w:ascii="Times New Roman" w:eastAsia="Times New Roman" w:hAnsi="Times New Roman" w:cs="Times New Roman"/>
            <w:sz w:val="24"/>
            <w:i w:val="false"/>
            <w:strike w:val="false"/>
            <w:color w:val="0000ff"/>
          </w:rPr>
          <w:t xml:space="preserve">Справки</w:t>
        </w:r>
      </w:hyperlink>
      <w:r>
        <w:rPr>
          <w:b w:val="false"/>
          <w:rFonts w:ascii="Times New Roman" w:eastAsia="Times New Roman" w:hAnsi="Times New Roman" w:cs="Times New Roman"/>
          <w:sz w:val="24"/>
          <w:i w:val="false"/>
          <w:strike w:val="false"/>
        </w:rPr>
        <w:t xml:space="preserve"> и ведение </w:t>
      </w:r>
      <w:hyperlink r:id="rId11">
        <w:r>
          <w:rPr>
            <w:b w:val="false"/>
            <w:rFonts w:ascii="Times New Roman" w:eastAsia="Times New Roman" w:hAnsi="Times New Roman" w:cs="Times New Roman"/>
            <w:sz w:val="24"/>
            <w:i w:val="false"/>
            <w:strike w:val="false"/>
            <w:color w:val="0000ff"/>
          </w:rPr>
          <w:t xml:space="preserve">Журнала</w:t>
        </w:r>
      </w:hyperlink>
      <w:r>
        <w:rPr>
          <w:b w:val="false"/>
          <w:rFonts w:ascii="Times New Roman" w:eastAsia="Times New Roman" w:hAnsi="Times New Roman" w:cs="Times New Roman"/>
          <w:sz w:val="24"/>
          <w:i w:val="false"/>
          <w:strike w:val="false"/>
        </w:rPr>
        <w:t xml:space="preserve">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 Рекомендуемый порядок учета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микроповреждений (микротравм)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 &lt;1&gt; (далее - оповещаемое лицо).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&lt;1&gt; </w:t>
      </w:r>
      <w:hyperlink r:id="rId12">
        <w:r>
          <w:rPr>
            <w:b w:val="false"/>
            <w:rFonts w:ascii="Times New Roman" w:eastAsia="Times New Roman" w:hAnsi="Times New Roman" w:cs="Times New Roman"/>
            <w:sz w:val="24"/>
            <w:i w:val="false"/>
            <w:strike w:val="false"/>
            <w:color w:val="0000ff"/>
          </w:rPr>
          <w:t xml:space="preserve">Часть 3 статьи 226</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обращении пострадавшего к медицинскому работнику организации, последнему рекомендуется сообщать о микроповреждении (микротравме) работника оповещаемому лицу.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Оповещаемому лицу рекомендуется незамедлительно информировать любым общедоступным способом специалиста по охране труда или лицо, назначенное ответственным за организацию работы по охране труда приказом (распоряжением) работодателя, или другого уполномоченного работодателем работника (далее - уполномоченное лицо), о микроповреждении (микротравме)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информировании уполномоченного лица рекомендуется сообщать: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фамилию, имя, отчество (при наличии) пострадавшего работника, должность, структурное подразделение;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дату и время получения работником микроповреждения (микротравмы);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 (описание) микротравмы;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краткую информацию об обстоятельствах получения работником микроповреждения (микротравмы).</w:t>
      </w:r>
    </w:p>
    <w:p>
      <w:pPr>
        <w:jc w:val="both"/>
        <w:ind w:firstLine="540" w:left="0"/>
        <w:spacing w:before="240" w:after="0" w:line="240"/>
        <w:rPr>
          <w:b w:val="false"/>
          <w:rFonts w:ascii="Times New Roman" w:eastAsia="Times New Roman" w:hAnsi="Times New Roman" w:cs="Times New Roman"/>
          <w:sz w:val="24"/>
          <w:i w:val="false"/>
          <w:strike w:val="false"/>
        </w:rPr>
      </w:pPr>
      <w:bookmarkStart w:id="2" w:name="Par60"/>
      <w:bookmarkEnd w:id="2"/>
      <w:r>
        <w:rPr>
          <w:b w:val="false"/>
          <w:rFonts w:ascii="Times New Roman" w:eastAsia="Times New Roman" w:hAnsi="Times New Roman" w:cs="Times New Roman"/>
          <w:sz w:val="24"/>
          <w:i w:val="false"/>
          <w:strike w:val="false"/>
        </w:rPr>
        <w:t xml:space="preserve">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определенным работодателем, а также провести осмотр места происшествия. 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 &lt;2&gt;.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&lt;2&gt; </w:t>
      </w:r>
      <w:hyperlink r:id="rId8">
        <w:r>
          <w:rPr>
            <w:b w:val="false"/>
            <w:rFonts w:ascii="Times New Roman" w:eastAsia="Times New Roman" w:hAnsi="Times New Roman" w:cs="Times New Roman"/>
            <w:sz w:val="24"/>
            <w:i w:val="false"/>
            <w:strike w:val="false"/>
            <w:color w:val="0000ff"/>
          </w:rPr>
          <w:t xml:space="preserve">Абзац двенадцатый части 1 статьи 216</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Работодателю рекомендуется привлекать пострадавшего работника лично или через своих представителей, включая представителей выборного органа первичной профсоюзной организации,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Уполномоченному лицу по результатам действий, проведенных в соответствии с </w:t>
      </w:r>
      <w:hyperlink r:id="rId13">
        <w:r>
          <w:rPr>
            <w:b w:val="false"/>
            <w:rFonts w:ascii="Times New Roman" w:eastAsia="Times New Roman" w:hAnsi="Times New Roman" w:cs="Times New Roman"/>
            <w:sz w:val="24"/>
            <w:i w:val="false"/>
            <w:strike w:val="false"/>
            <w:color w:val="0000ff"/>
          </w:rPr>
          <w:t xml:space="preserve">пунктом 8</w:t>
        </w:r>
      </w:hyperlink>
      <w:r>
        <w:rPr>
          <w:b w:val="false"/>
          <w:rFonts w:ascii="Times New Roman" w:eastAsia="Times New Roman" w:hAnsi="Times New Roman" w:cs="Times New Roman"/>
          <w:sz w:val="24"/>
          <w:i w:val="false"/>
          <w:strike w:val="false"/>
        </w:rPr>
        <w:t xml:space="preserve"> настоящих Рекомендаций, рекомендуется составлять Справку.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Уполномоченному лицу рекомендуется обеспечивать регистрацию в Журнале соответствующих сведений, а также с участием 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подготовке перечня соответствующих мероприятий рекомендуется учитывать: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организационные недостатки в функционировании системы управления охраной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физическое состояние работника в момент получения микроповреждения (микротравмы);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меры по контролю;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механизмы оценки эффективности мер по контролю и реализации профилактических мероприятий.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учету</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микроповреждений (микротравм)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работников, утвержденным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 сентября 2021 г. N 632</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3" w:name="Par91"/>
      <w:bookmarkEnd w:id="3"/>
      <w:r>
        <w:rPr>
          <w:b w:val="false"/>
          <w:rFonts w:ascii="Courier New" w:eastAsia="Courier New" w:hAnsi="Courier New" w:cs="Courier New"/>
          <w:sz w:val="20"/>
          <w:i w:val="false"/>
          <w:strike w:val="false"/>
        </w:rPr>
        <w:t xml:space="preserve">                                  Справка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 рассмотрении причин и обстоятельств, приведших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 возникновению микроповреждения (микротравмы) работника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Пострадавший работник</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год рождения,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структурное подразделение, стаж работы по специальности)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Место получения работником микроповреждения (микротравмы): 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время получения работником микроповреждения (микротравмы): 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Действия по оказанию первой помощи: 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Характер (описание) микротравмы 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Обстоятельства: 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(изложение обстоятельств получения работником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микроповреждения (микротравмы)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Причины, приведшие к микроповреждению (микротравме):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(указать выявленные причины)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Предложения    по   устранению   причин,   приведших   к   микроповреждению</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(микротравме):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577"/>
        <w:gridCol w:w="5556"/>
      </w:tblGrid>
      <w:tr>
        <w:trPr>
          <w:jc w:val="left"/>
        </w:trPr>
        <w:tc>
          <w:tcPr>
            <w:tcW w:type="dxa" w:w="3577"/>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уполномоченного лица</w:t>
            </w:r>
          </w:p>
        </w:tc>
        <w:tc>
          <w:tcPr>
            <w:tcW w:type="dxa" w:w="5556"/>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357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556"/>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 должность, дата)</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2</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учету</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микроповреждений (микротравм)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работников, утвержденным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 сентября 2021 г. N 632</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690"/>
        <w:gridCol w:w="1191"/>
        <w:gridCol w:w="4252"/>
      </w:tblGrid>
      <w:tr>
        <w:trPr>
          <w:jc w:val="left"/>
        </w:trPr>
        <w:tc>
          <w:tcPr>
            <w:hMerge w:val="restart"/>
            <w:tcW w:type="dxa" w:w="9133"/>
            <w:gridSpan w:val="3"/>
          </w:tcPr>
          <w:p>
            <w:pPr>
              <w:jc w:val="center"/>
              <w:ind w:firstLine="0" w:left="0"/>
              <w:spacing w:after="0" w:line="240"/>
              <w:rPr>
                <w:b w:val="false"/>
                <w:rFonts w:ascii="Times New Roman" w:eastAsia="Times New Roman" w:hAnsi="Times New Roman" w:cs="Times New Roman"/>
                <w:sz w:val="24"/>
                <w:i w:val="false"/>
                <w:strike w:val="false"/>
              </w:rPr>
            </w:pPr>
            <w:bookmarkStart w:id="4" w:name="Par146"/>
            <w:bookmarkEnd w:id="4"/>
            <w:r>
              <w:rPr>
                <w:b w:val="false"/>
                <w:rFonts w:ascii="Times New Roman" w:eastAsia="Times New Roman" w:hAnsi="Times New Roman" w:cs="Times New Roman"/>
                <w:sz w:val="24"/>
                <w:i w:val="false"/>
                <w:strike w:val="false"/>
              </w:rPr>
              <w:t xml:space="preserve">Журнал учета микроповреждений (микротравм) работников</w:t>
            </w:r>
          </w:p>
        </w:tc>
      </w:tr>
      <w:tr>
        <w:trPr>
          <w:jc w:val="left"/>
        </w:trPr>
        <w:tc>
          <w:tcPr>
            <w:hMerge w:val="restart"/>
            <w:tcW w:type="dxa" w:w="9133"/>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организации)</w:t>
            </w:r>
          </w:p>
        </w:tc>
      </w:tr>
      <w:tr>
        <w:trPr>
          <w:jc w:val="left"/>
        </w:trPr>
        <w:tc>
          <w:tcPr>
            <w:tcW w:type="dxa" w:w="3690"/>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начала ведения Журнала</w:t>
            </w:r>
          </w:p>
        </w:tc>
        <w:tc>
          <w:tcPr>
            <w:tcW w:type="dxa" w:w="119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252"/>
            <w:gridSpan w:val="1"/>
          </w:tcPr>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окончания ведения Журнала</w:t>
            </w: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29"/>
        <w:gridCol w:w="1191"/>
        <w:gridCol w:w="1247"/>
        <w:gridCol w:w="1426"/>
        <w:gridCol w:w="997"/>
        <w:gridCol w:w="964"/>
        <w:gridCol w:w="680"/>
        <w:gridCol w:w="964"/>
        <w:gridCol w:w="964"/>
      </w:tblGrid>
      <w:tr>
        <w:trPr>
          <w:jc w:val="left"/>
        </w:trPr>
        <w:tc>
          <w:tcPr>
            <w:tcW w:type="dxa" w:w="6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ФИО пострадавшего работника, должность, подразделение</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дата и время получения микроповреждения (микротравмы)</w:t>
            </w:r>
          </w:p>
        </w:tc>
        <w:tc>
          <w:tcPr>
            <w:tcW w:type="dxa" w:w="142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Краткие обстоятельства получения работником микроповреждения (микротравмы)</w:t>
            </w:r>
          </w:p>
        </w:tc>
        <w:tc>
          <w:tcPr>
            <w:tcW w:type="dxa" w:w="99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Причины микроповреждения (микротравмы)</w:t>
            </w:r>
          </w:p>
        </w:tc>
        <w:tc>
          <w:tcPr>
            <w:tcW w:type="dxa" w:w="9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 (описание) микротравмы</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Принятые меры</w:t>
            </w:r>
          </w:p>
        </w:tc>
        <w:tc>
          <w:tcPr>
            <w:tcW w:type="dxa" w:w="9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Последствия микроповреждений (микротравмы)</w:t>
            </w:r>
          </w:p>
        </w:tc>
        <w:tc>
          <w:tcPr>
            <w:tcW w:type="dxa" w:w="9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ФИО лица, должность производившего запись</w:t>
            </w:r>
          </w:p>
        </w:tc>
      </w:tr>
      <w:tr>
        <w:trPr>
          <w:jc w:val="left"/>
        </w:trPr>
        <w:tc>
          <w:tcPr>
            <w:tcW w:type="dxa" w:w="6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42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99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9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9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9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r>
      <w:tr>
        <w:trPr>
          <w:jc w:val="left"/>
        </w:trPr>
        <w:tc>
          <w:tcPr>
            <w:tcW w:type="dxa" w:w="62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24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2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9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62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24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2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9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16"/>
      <w:footerReference w:type="default" r:id="rId18"/>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7">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15.09.2021 N 632н</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рекомендаций по учету микроповреждений (микротравм) работник...</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5">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93279&amp;date=12.02.2025&amp;dst=2804&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5" Type="http://schemas.openxmlformats.org/officeDocument/2006/relationships/hyperlink" Target="https://login.consultant.ru/link/?req=doc&amp;base=LAW&amp;n=481415&amp;date=12.02.2025&amp;dst=81&amp;field=134%20\o%20&#1055;&#1086;&#1089;&#1090;&#1072;&#1085;&#1086;&#1074;&#1083;&#1077;&#1085;&#1080;&#1077;%20&#1055;&#1088;&#1072;&#1074;&#1080;&#1090;&#1077;&#1083;&#1100;&#1089;&#1090;&#1074;&#1072;%20&#1056;&#1060;%20&#1086;&#1090;%2019.06.2012%20N%20610%20(&#1088;&#1077;&#1076;.%20&#1086;&#1090;%2018.12.2024)%20\&#1054;&#1073;%20&#1091;&#1090;&#1074;&#1077;&#1088;&#1078;&#1076;&#1077;&#1085;&#1080;&#1080;%20&#1055;&#1086;&#1083;&#1086;&#1078;&#1077;&#1085;&#1080;&#1103;%20&#1086;%20&#1052;&#1080;&#1085;&#1080;&#1089;&#1090;&#1077;&#1088;&#1089;&#1090;&#1074;&#1077;%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6" Type="http://schemas.openxmlformats.org/officeDocument/2006/relationships/hyperlink" Target="\l%20Par26%20%20\o%20&#1056;&#1045;&#1050;&#1054;&#1052;&#1045;&#1053;&#1044;&#1040;&#1062;&#1048;&#1048;" TargetMode="External"/><Relationship Id="rId7" Type="http://schemas.openxmlformats.org/officeDocument/2006/relationships/hyperlink" Target="https://login.consultant.ru/link/?req=doc&amp;base=LAW&amp;n=493279&amp;date=12.02.2025&amp;dst=2660&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8" Type="http://schemas.openxmlformats.org/officeDocument/2006/relationships/hyperlink" Target="https://login.consultant.ru/link/?req=doc&amp;base=LAW&amp;n=493279&amp;date=12.02.2025&amp;dst=2708&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9" Type="http://schemas.openxmlformats.org/officeDocument/2006/relationships/hyperlink" Target="https://login.consultant.ru/link/?req=doc&amp;base=LAW&amp;n=493279&amp;date=12.02.2025&amp;dst=1292&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0" Type="http://schemas.openxmlformats.org/officeDocument/2006/relationships/hyperlink" Target="\l%20Par91%20%20\o%20%20%20%20%20%20%20%20%20%20%20%20%20%20%20%20%20%20%20%20%20%20%20%20%20%20%20%20%20%20%20%20%20%20%20&#1057;&#1087;&#1088;&#1072;&#1074;&#1082;&#1072;" TargetMode="External"/><Relationship Id="rId11" Type="http://schemas.openxmlformats.org/officeDocument/2006/relationships/hyperlink" Target="\l%20Par146%20%20\o%20&#1046;&#1091;&#1088;&#1085;&#1072;&#1083;%20&#1091;&#1095;&#1077;&#1090;&#1072;%20&#1084;&#1080;&#1082;&#1088;&#1086;&#1087;&#1086;&#1074;&#1088;&#1077;&#1078;&#1076;&#1077;&#1085;&#1080;&#1081;%20(&#1084;&#1080;&#1082;&#1088;&#1086;&#1090;&#1088;&#1072;&#1074;&#1084;)%20&#1088;&#1072;&#1073;&#1086;&#1090;&#1085;&#1080;&#1082;&#1086;&#1074;" TargetMode="External"/><Relationship Id="rId12" Type="http://schemas.openxmlformats.org/officeDocument/2006/relationships/hyperlink" Target="https://login.consultant.ru/link/?req=doc&amp;base=LAW&amp;n=493279&amp;date=12.02.2025&amp;dst=2803&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3" Type="http://schemas.openxmlformats.org/officeDocument/2006/relationships/hyperlink" Target="\l%20Par60%20%20\o%208.%20&#1055;&#1088;&#1080;%20&#1087;&#1086;&#1083;&#1091;&#1095;&#1077;&#1085;&#1080;&#1080;%20&#1080;&#1085;&#1092;&#1086;&#1088;&#1084;&#1072;&#1094;&#1080;&#1080;%20&#1086;%20&#1084;&#1080;&#1082;&#1088;&#1086;&#1087;&#1086;&#1074;&#1088;&#1077;&#1078;&#1076;&#1077;&#1085;&#1080;&#1080;%20(&#1084;&#1080;&#1082;&#1088;&#1086;&#1090;&#1088;&#1072;&#1074;&#1084;&#1077;)%20&#1088;&#1072;&#1073;&#1086;&#1090;&#1085;&#1080;&#1082;&#1072;%20&#1091;&#1087;&#1086;&#1083;&#1085;&#1086;&#1084;&#1086;&#1095;&#1077;&#1085;&#1085;&#1086;&#1084;&#1091;%20&#1083;&#1080;&#1094;&#1091;%20&#1088;&#1077;&#1082;&#1086;&#1084;&#1077;&#1085;&#1076;&#1091;&#1077;&#1090;&#1089;&#1103;%20&#1088;&#1072;&#1089;&#1089;&#1084;&#1086;&#1090;&#1088;&#1077;&#1090;&#1100;%20&#1086;&#1073;&#1089;&#1090;&#1086;&#1103;&#1090;&#1077;&#1083;&#1100;&#1089;&#1090;&#1074;&#1072;%20&#1080;%20&#1087;&#1088;&#1080;&#1095;&#1080;&#1085;&#1099;,%20&#1087;&#1088;&#1080;&#1074;&#1077;&#1076;&#1096;&#1080;&#1077;%20&#1082;%20&#1077;&#1077;%20&#1074;&#1086;&#1079;&#1085;&#1080;&#1082;&#1085;&#1086;&#1074;&#1077;&#1085;&#1080;&#1102;,%20&#1074;%20&#1089;&#1088;&#1086;&#1082;%20&#1076;&#1086;%203%20&#1082;&#1072;&#1083;&#1077;&#1085;&#1076;&#1072;&#1088;&#1085;&#1099;&#1093;%20&#1076;&#1085;&#1077;&#1081;.%20&#1055;&#1088;&#1080;%20&#1074;&#1086;&#1079;&#1085;&#1080;&#1082;&#1085;&#1086;&#1074;&#1077;&#1085;&#1080;&#1080;%20&#1086;&#1073;&#1089;&#1090;&#1086;&#1103;&#1090;&#1077;&#1083;&#1100;&#1089;&#1090;&#1074;,%20&#1086;&#1073;&#1098;&#1077;&#1082;&#1090;&#1080;&#1074;&#1085;&#1086;%20&#1087;&#1088;&#1077;&#1087;&#1103;&#1090;&#1089;&#1090;&#1074;&#1091;&#1102;&#1097;&#1080;&#1093;%20&#1079;&#1072;&#1074;&#1077;&#1088;&#1096;&#1077;&#1085;&#1080;&#1102;%20&#1074;%20&#1091;&#1082;&#1072;&#1079;&#1072;&#1085;&#1085;&#1099;&#1081;%20&#1089;&#1088;&#1086;&#1082;%20&#1088;&#1072;&#1089;&#1089;&#1084;&#1086;&#1090;&#1088;&#1077;&#1085;&#1080;&#1103;%20&#1086;&#1073;&#1089;&#1090;&#1086;&#1103;&#1090;&#1077;&#1083;&#1100;&#1089;&#1090;&#1074;%20&#1080;%20&#1087;&#1088;&#1080;&#1095;&#1080;&#1085;,%20&#1087;&#1088;&#1080;&#1074;&#1077;&#1076;&#1096;&#1080;&#1093;%20&#1082;%20&#1074;&#1086;&#1079;&#1085;&#1080;&#1082;&#1085;&#1086;&#1074;&#1077;&#1085;&#1080;&#1102;%20&#1084;&#1080;&#1082;&#1088;&#1086;&#1087;&#1086;&#1074;&#1088;&#1077;&#1078;&#1076;&#1077;&#1085;&#1080;&#1103;%20(&#1084;&#1080;&#1082;&#1088;&#1086;&#1090;&#1088;&#1072;&#1074;&#1084;&#1099;)%20&#1088;&#1072;&#1073;&#1086;&#1090;&#1085;&#1080;&#1082;&#1072;,%20&#1074;%20&#1090;&#1086;&#1084;%20&#1095;&#1080;&#1089;&#1083;&#1077;%20&#1087;&#1086;%20&#1087;&#1088;&#1080;&#1095;&#1080;&#1085;&#1077;%20&#1086;&#1090;&#1089;&#1091;&#1090;&#1089;&#1090;&#1074;&#1080;&#1103;%20&#1086;&#1073;&#1098;&#1103;&#1089;&#1085;&#1077;&#1085;&#1080;&#1103;%20&#1087;&#1086;&#1089;&#1090;&#1088;&#1072;&#1076;&#1072;&#1074;&#1096;&#1077;&#1075;&#1086;%20&#1088;&#1072;&#1073;&#1086;&#1090;&#1085;&#1080;&#1082;&#1072;,%20&#1088;&#1077;&#1082;&#1086;&#1084;&#1077;&#1085;&#1076;&#1091;&#1077;&#1090;&#1089;&#1103;%20&#1087;&#1088;&#1086;&#1076;&#1083;&#1080;&#1090;&#1100;%20&#1089;&#1088;&#1086;&#1082;%20&#1088;&#1072;&#1089;&#1089;&#1084;&#1086;&#1090;&#1088;&#1077;&#1085;&#1080;&#1103;%20&#1086;&#1073;..." TargetMode="External"/><Relationship Id="rId14" Type="http://schemas.openxmlformats.org/officeDocument/2006/relationships/theme" Target="theme/theme1.xml"/><Relationship Id="rId16"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notes" Target="footnotes.xml"/><Relationship Id="rId20" Type="http://schemas.openxmlformats.org/officeDocument/2006/relationships/endnotes" Target="endnotes.xml"/><Relationship Id="rId21" Type="http://schemas.openxmlformats.org/officeDocument/2006/relationships/styles" Target="styles.xml"/><Relationship Id="rId22" Type="http://schemas.openxmlformats.org/officeDocument/2006/relationships/fontTable" Target="fontTable.xml"/><Relationship Id="rId25" Type="http://schemas.openxmlformats.org/officeDocument/2006/relationships/settings" Target="settings.xml"/></Relationships>
</file>

<file path=word/_rels/footer1.xml.rels><?xml version="1.0" encoding="UTF-8" standalone="yes"?>
<Relationships xmlns="http://schemas.openxmlformats.org/package/2006/relationships"><Relationship Id="rId17"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5"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15.09.2021 N 632н"Об утверждении рекомендаций по учету микроповреждений (микротравм) работников"</dc:title>
</cp:coreProperties>
</file>