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7" Type="http://schemas.openxmlformats.org/officeDocument/2006/relationships/extended-properties" Target="docProps/app.xml"/><Relationship Id="rId2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Минздравсоцразвития России от 17.12.2010 N 1122н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(ред. от 29.10.2021)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22.04.2011 N 20562)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22 апреля 2011 г. N 20562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ЗДРАВООХРАНЕНИЯ И СОЦИАЛЬНОГО РАЗВИТИЯ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17 декабря 2010 г. N 1122н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ТИПОВЫХ НОРМ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БЕСПЛАТНОЙ ВЫДАЧИ РАБОТНИКАМ СМЫВАЮЩИХ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(ИЛИ) ОБЕЗВРЕЖИВАЮЩИХ СРЕДСТВ И СТАНДАРТА БЕЗОПАСНОСТИ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ТРУДА "ОБЕСПЕЧЕНИЕ РАБОТНИКОВ СМЫВАЮЩИМИ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(ИЛИ) ОБЕЗВРЕЖИВАЮЩИМИ СРЕДСТВАМИ"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Список изменяющих документов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(в ред. Приказов Минтруда России от 07.02.2013 </w:t>
            </w:r>
            <w:hyperlink r:id="rId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48н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,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от 20.02.2014 </w:t>
            </w:r>
            <w:hyperlink r:id="rId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103н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, от 23.11.2017 </w:t>
            </w:r>
            <w:hyperlink r:id="rId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805н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, от 29.10.2021 </w:t>
            </w:r>
            <w:hyperlink r:id="rId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 766н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)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пунктами 5.2.70 и 5.2.74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 N 15, ст. 1555; N 23, ст. 2713; N 42, ст. 4825; N 46, ст. 5337; N 48, ст. 5618; 2009, N 2, ст. 244; N 3, ст. 378; N 6, ст. 738; N 12, ст. 1427, 1434; N 33, ст. 4083, 4088; N 43, ст. 5064; N 45, ст. 5350; 2010, N 4, ст. 394; N 11, ст. 1225; N 25, ст. 3167; N 26, ст. 3350; N 31, ст. 4251; N 35, ст. 4574),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типовые нормы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бесплатной выдачи работникам смывающих и (или) обезвреживающих средств согласно приложению N 1;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стандарт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безопасности труда "Обеспечение работников смывающими и (или) обезвреживающими средствами" согласно приложению N 2.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(стандарт утратил силу с 1 сентября 2023 года. -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Минтруда России от 29.10.2021 N 766н)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Признать утратившим силу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труда и социального развития Российской Федерации от 4 июля 2003 г. N 45 "Об утверждении норм бесплатной выдачи работникам смывающих и обезвреживающих средств, порядка и условий их выдачи" (зарегистрировано Министерством юстиции Российской Федерации 15 июля 2003 г. N 4901).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Т.А.ГОЛИКОВА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1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Минздравсоцразвития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17 декабря 2010 г. N 1122н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7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ТИПОВЫЕ НОРМЫ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БЕСПЛАТНОЙ ВЫДАЧИ РАБОТНИКАМ СМЫВАЮЩИХ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(ИЛИ) ОБЕЗВРЕЖИВАЮЩИХ СРЕДСТВ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Список изменяющих документов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(в ред. </w:t>
            </w:r>
            <w:hyperlink r:id="rId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Приказа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Минтруда России от 07.02.2013 N 48н)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sectPr>
          <w:type w:val="nextPage"/>
          <w:cols w:num="1" w:space="720" w:equalWidth="true"/>
          <w:pgSz w:w="11906" w:h="16838"/>
          <w:pgMar w:left="1133" w:right="566" w:top="1440" w:bottom="1440" w:gutter="0" w:header="0" w:footer="0"/>
          <w:headerReference w:type="default" r:id="rId12"/>
          <w:footerReference w:type="default" r:id="rId14"/>
        </w:sect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722"/>
        <w:gridCol w:w="2805"/>
        <w:gridCol w:w="6270"/>
        <w:gridCol w:w="2475"/>
      </w:tblGrid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 п/п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Виды смывающих и (или) обезвреживающих средств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работ и производственных факторов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Норма выдачи на 1 работника в месяц</w:t>
            </w:r>
          </w:p>
        </w:tc>
      </w:tr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</w:tr>
      <w:tr>
        <w:trPr>
          <w:jc w:val="left"/>
        </w:trPr>
        <w:tc>
          <w:tcPr>
            <w:hMerge w:val="restart"/>
            <w:tcW w:type="dxa" w:w="122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4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I. Защитные средства</w:t>
            </w:r>
          </w:p>
        </w:tc>
      </w:tr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" w:name="Par52"/>
            <w:bookmarkEnd w:id="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Средства гидрофильного действия (впитывающие влагу, увлажняющие кожу)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металлической, стекольной, бумажной и другими), мазутом, стекловолокном, смазочно-охлаждающими жидкостями (далее - СОЖ) на масляной основе и другими водонерастворимыми материалами и веществами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100 мл</w:t>
            </w:r>
          </w:p>
        </w:tc>
      </w:tr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" w:name="Par56"/>
            <w:bookmarkEnd w:id="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Средства гидрофобного действия (отталкивающие влагу, сушащие кожу)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с водными растворами, водой (предусмотренные технологией), СОЖ на водной основе, дезинфицирующими средствами, растворами цемента, извести, кислот, щелочей, солей, щелочемасляными эмульсиями и другими водорастворимыми материалами и веществами; работы, выполняемые в резиновых перчатках или перчатках из полимерных материалов (без натуральной подкладки), закрытой спецобуви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100 мл</w:t>
            </w:r>
          </w:p>
        </w:tc>
      </w:tr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Средства комбинированного действия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при попеременном воздействии водорастворимых и водонерастворимых материалов и веществ, указанных в </w:t>
            </w:r>
            <w:hyperlink r:id="rId1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пунктах 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</w:t>
            </w:r>
            <w:hyperlink r:id="rId1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настоящих Типовых норм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100 мл</w:t>
            </w:r>
          </w:p>
        </w:tc>
      </w:tr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Наружные, сварочные и другие работы, связанные с воздействием ультрафиолетового излучения диапазонов A, B, C или воздействием пониженных температур, ветра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100 мл</w:t>
            </w:r>
          </w:p>
        </w:tc>
      </w:tr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Средства для защиты от бактериологических вредных факторов (дезинфицирующие)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с бактериально опасными средами; при нахождении рабочего места удаленно от стационарных санитарно-бытовых узлов; работы, выполняемые в закрытой специальной обуви; при повышенных требованиях к стерильности рук на производстве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100 мл</w:t>
            </w:r>
          </w:p>
        </w:tc>
      </w:tr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Средства для защиты от биологических вредных факторов (от укусов членистоногих)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Наружные работы (сезонно, при температуре выше 0° Цельсия) в период активности кровососущих и жалящих насекомых и паукообразных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200 мл</w:t>
            </w:r>
          </w:p>
        </w:tc>
      </w:tr>
      <w:tr>
        <w:trPr>
          <w:jc w:val="left"/>
        </w:trPr>
        <w:tc>
          <w:tcPr>
            <w:hMerge w:val="restart"/>
            <w:tcW w:type="dxa" w:w="122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4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II. Очищающие средства</w:t>
            </w:r>
          </w:p>
        </w:tc>
      </w:tr>
      <w:tr>
        <w:trPr>
          <w:jc w:val="left"/>
        </w:trPr>
        <w:tc>
          <w:tcPr>
            <w:vMerge w:val="restart"/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Мыло или жидкие моющие средства в том числе: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связанные с легкосмываемыми загрязнениями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</w:tcBorders>
            <w:vAlign w:val="bottom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05"/>
            <w:tcBorders>
              <w:left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для мытья рук</w:t>
            </w:r>
          </w:p>
        </w:tc>
        <w:tc>
          <w:tcPr>
            <w:tcW w:type="dxa" w:w="6270"/>
            <w:tcBorders>
              <w:left w:sz="4" w:val="single"/>
              <w:right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475"/>
            <w:tcBorders>
              <w:left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200 г (мыло туалетное) или 250 мл (жидкие моющие средства в дозирующих устройствах)</w:t>
            </w:r>
          </w:p>
        </w:tc>
      </w:tr>
      <w:tr>
        <w:trPr>
          <w:jc w:val="left"/>
        </w:trPr>
        <w:tc>
          <w:tcPr>
            <w:vMerge w:val="continue"/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05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для мытья тела</w:t>
            </w:r>
          </w:p>
        </w:tc>
        <w:tc>
          <w:tcPr>
            <w:tcW w:type="dxa" w:w="6270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475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300 г (мыло туалетное) или 500 мл (жидкие моющие средства в дозирующих устройствах)</w:t>
            </w:r>
          </w:p>
        </w:tc>
      </w:tr>
      <w:tr>
        <w:trPr>
          <w:jc w:val="left"/>
        </w:trPr>
        <w:tc>
          <w:tcPr>
            <w:vMerge w:val="restart"/>
            <w:tcW w:type="dxa" w:w="722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  <w:tc>
          <w:tcPr>
            <w:vMerge w:val="restart"/>
            <w:tcW w:type="dxa" w:w="2805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Твердое туалетное мыло или жидкие моющие средства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связанные с трудносмываемыми, 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угольная, металлическая)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300 г (мыло туалетное) или 500 мл (жидкие моющие средства в дозирующих устройствах)</w:t>
            </w:r>
          </w:p>
        </w:tc>
      </w:tr>
      <w:tr>
        <w:trPr>
          <w:jc w:val="left"/>
        </w:trPr>
        <w:tc>
          <w:tcPr>
            <w:vMerge w:val="continue"/>
            <w:tcW w:type="dxa" w:w="722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05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на угольных (сланцевых) шахтах, в разрезах, на обогатительных и брикетных фабриках, в шахтостроительных и шахто-монтажных организациях угольной промышленности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800 г (мыло туалетное) или 750 мл (жидкие моющие средства в дозирующих устройствах)</w:t>
            </w:r>
          </w:p>
        </w:tc>
      </w:tr>
      <w:tr>
        <w:trPr>
          <w:jc w:val="left"/>
        </w:trPr>
        <w:tc>
          <w:tcPr>
            <w:hMerge w:val="restart"/>
            <w:tcW w:type="dxa" w:w="12272"/>
            <w:tcBorders>
              <w:left w:sz="4" w:val="single"/>
              <w:right w:sz="4" w:val="single"/>
              <w:bottom w:sz="4" w:val="single"/>
            </w:tcBorders>
            <w:gridSpan w:val="4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(п. 8 в ред. </w:t>
            </w:r>
            <w:hyperlink r:id="rId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Приказа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Минтруда России от 07.02.2013 N 48н)</w:t>
            </w:r>
          </w:p>
        </w:tc>
      </w:tr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Очищающие кремы, гели и пасты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связанные с трудносмываемыми, 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угольная, металлическая)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200 мл</w:t>
            </w:r>
          </w:p>
        </w:tc>
      </w:tr>
      <w:tr>
        <w:trPr>
          <w:jc w:val="left"/>
        </w:trPr>
        <w:tc>
          <w:tcPr>
            <w:hMerge w:val="restart"/>
            <w:tcW w:type="dxa" w:w="122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4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III. Регенерирующие, восстанавливающие средства</w:t>
            </w:r>
          </w:p>
        </w:tc>
      </w:tr>
      <w:tr>
        <w:trPr>
          <w:jc w:val="left"/>
        </w:trPr>
        <w:tc>
          <w:tcPr>
            <w:tcW w:type="dxa" w:w="72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</w:t>
            </w:r>
          </w:p>
        </w:tc>
        <w:tc>
          <w:tcPr>
            <w:tcW w:type="dxa" w:w="280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Регенерирующие, восстанавливающие кремы, эмульсии</w:t>
            </w:r>
          </w:p>
        </w:tc>
        <w:tc>
          <w:tcPr>
            <w:tcW w:type="dxa" w:w="62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стекольной и другими), мазутом, СОЖ на водной и масляной основе, с водой и водными растворами (предусмотренные технологией), дезинфицирующими средствами, растворами цемента, извести, кислот, щелочей, солей, щелочемасляными эмульсиями и другими рабочими материалами; работы, выполняемые в резиновых перчатках или перчатках из полимерных материалов (без натуральной подкладки); негативное влияние окружающей среды</w:t>
            </w:r>
          </w:p>
        </w:tc>
        <w:tc>
          <w:tcPr>
            <w:tcW w:type="dxa" w:w="24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100 мл</w:t>
            </w:r>
          </w:p>
        </w:tc>
      </w:tr>
    </w:tbl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2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Минздравсоцразвития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17 декабря 2010 г. N 1122н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4" w:name="Par110"/>
      <w:bookmarkEnd w:id="4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СТАНДАРТ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БЕЗОПАСНОСТИ ТРУДА "ОБЕСПЕЧЕНИЕ РАБОТНИКОВ СМЫВАЮЩИМИ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(ИЛИ) ОБЕЗВРЕЖИВАЮЩИМИ СРЕДСТВАМИ"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Утратил силу с 1 сентября 2023 года. -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Минтруда России от 29.10.2021 N 766н.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6838" w:h="11906" w:orient="landscape"/>
      <w:pgMar w:left="1440" w:right="1440" w:top="1133" w:bottom="566" w:gutter="0" w:header="0" w:footer="0"/>
      <w:headerReference w:type="default" r:id="rId20"/>
      <w:footerReference w:type="default" r:id="rId22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3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type="dxa" w:w="4606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474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21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4607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Минздравсоцразвития России от 17.12.2010 N 1122н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(ред. от 29.10.2021)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типовых норм бесплатной выд...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1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7537"/>
      <w:gridCol w:w="6420"/>
    </w:tblGrid>
    <w:tr>
      <w:trPr>
        <w:trHeight w:val="1190" w:hRule="exact"/>
      </w:trPr>
      <w:tc>
        <w:tcPr>
          <w:tcW w:type="dxa" w:w="7537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Минздравсоцразвития России от 17.12.2010 N 1122н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(ред. от 29.10.2021)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типовых норм бесплатной выд...</w:t>
          </w:r>
        </w:p>
      </w:tc>
      <w:tc>
        <w:tcPr>
          <w:tcW w:type="dxa" w:w="642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9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143902&amp;date=12.02.2025&amp;dst=100006&amp;field=134%20\o%20&#1055;&#1088;&#1080;&#1082;&#1072;&#1079;%20&#1052;&#1080;&#1085;&#1090;&#1088;&#1091;&#1076;&#1072;%20&#1056;&#1086;&#1089;&#1089;&#1080;&#1080;%20&#1086;&#1090;%2007.02.2013%20N%2048&#1085;%20\&#1054;%20&#1074;&#1085;&#1077;&#1089;&#1077;&#1085;&#1080;&#1080;%20&#1080;&#1079;&#1084;&#1077;&#1085;&#1077;&#1085;&#1080;&#1081;%20&#1074;%20&#1087;&#1088;&#1080;&#1083;&#1086;&#1078;&#1077;&#1085;&#1080;&#1077;%20N%201%20&#1082;%20&#1087;&#1088;&#1080;&#1082;&#1072;&#1079;&#1091;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%20&#1086;&#1090;%2017%20&#1076;&#1077;&#1082;&#1072;&#1073;&#1088;&#1103;%202010%20&#1075;.%20N%201122&#1085;%20\&#1054;&#1073;%20&#1091;&#1090;&#1074;&#1077;&#1088;&#1078;&#1076;&#1077;&#1085;&#1080;&#1080;%20&#1090;&#1080;&#1087;&#1086;&#1074;&#1099;&#1093;%20&#1085;&#1086;&#1088;&#1084;%20&#1073;&#1077;&#1089;&#1087;&#1083;&#1072;&#1090;&#1085;&#1086;&#1081;%20&#1074;&#1099;&#1076;&#1072;&#1095;&#1080;%20&#1088;&#1072;&#1073;&#1086;&#1090;&#1085;&#1080;&#1082;&#1072;&#1084;%20&#1089;&#1084;&#1099;&#1074;&#1072;&#1102;&#1097;&#1080;&#1093;%20&#1080;%20(&#1080;&#1083;&#1080;)%20&#1086;&#1073;&#1077;&#1079;&#1074;&#1088;&#1077;&#1078;&#1080;&#1074;&#1072;&#1102;&#1097;&#1080;&#1093;%20&#1089;&#1088;&#1077;&#1076;&#1089;&#1090;&#1074;%20&#1080;%20&#1089;&#1090;&#1072;&#1085;&#1076;&#1072;&#1088;&#1090;&#1072;%20&#1073;&#1077;&#1079;&#1086;&#1087;&#1072;&#1089;&#1085;&#1086;&#1089;&#1090;&#1080;%20&#1090;&#1088;&#1091;&#1076;&#1072;%20\&#1054;&#1073;&#1077;&#1089;&#1087;&#1077;&#1095;&#1077;&#1085;&#1080;&#1077;%20&#1088;&#1072;&#1073;&#1086;&#1090;&#1085;&#1080;&#1082;&#1086;&#1074;%20&#1089;&#1084;&#1099;&#1074;&#1072;&#1102;&#1097;&#1080;&#1084;&#1080;%20&#1080;%20(&#1080;&#1083;&#1080;)%20&#1086;&#1073;&#1077;&#1079;&#1074;&#1088;&#1077;&#1078;&#1080;&#1074;&#1072;&#1102;&#1097;&#1080;&#1084;&#1080;%20&#1089;&#1088;&#1077;&#1076;&#1089;&#1090;&#1074;&#1072;&#1084;&#1080;\%20(&#1047;&#1072;&#1088;&#1077;&#1075;&#1080;&#1089;&#1090;&#1088;&#1080;&#1088;&#1086;&#1074;&#1072;&#1085;&#1086;%20&#1074;%20&#1052;&#1080;&#1085;&#1102;&#1089;&#1090;&#1077;%20&#1056;&#1086;&#1089;&#1089;&#1080;&#1080;%2015.03.2013%20N%2027700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39767&amp;date=12.02.2025&amp;dst=100107&amp;field=134%20\o%20&#1055;&#1088;&#1080;&#1082;&#1072;&#1079;%20&#1052;&#1080;&#1085;&#1090;&#1088;&#1091;&#1076;&#1072;%20&#1056;&#1086;&#1089;&#1089;&#1080;&#1080;%20&#1086;&#1090;%2020.02.2014%20N%20103&#1085;%20(&#1088;&#1077;&#1076;.%20&#1086;&#1090;%2012.05.2022)%20\&#1054;%20&#1074;&#1085;&#1077;&#1089;&#1077;&#1085;&#1080;&#1080;%20&#1080;&#1079;&#1084;&#1077;&#1085;&#1077;&#1085;&#1080;&#1081;%20&#1080;%20&#1087;&#1088;&#1080;&#1079;&#1085;&#1072;&#1085;&#1080;&#1080;%20&#1091;&#1090;&#1088;&#1072;&#1090;&#1080;&#1074;&#1096;&#1080;&#1084;&#1080;%20&#1089;&#1080;&#1083;&#1091;%20&#1085;&#1077;&#1082;&#1086;&#1090;&#1086;&#1088;&#1099;&#1093;%20&#1085;&#1086;&#1088;&#1084;&#1072;&#1090;&#1080;&#1074;&#1085;&#1099;&#1093;%20&#1087;&#1088;&#1072;&#1074;&#1086;&#1074;&#1099;&#1093;%20&#1072;&#1082;&#1090;&#1086;&#1074;%20&#1052;&#1080;&#1085;&#1080;&#1089;&#1090;&#1077;&#1088;&#1089;&#1090;&#1074;&#1072;%20&#1090;&#1088;&#1091;&#1076;&#1072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,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,%20&#1052;&#1080;&#1085;&#1080;&#1089;&#1090;&#1077;&#1088;&#1089;&#1090;&#1074;&#1072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15.05.2014%20N%2032284)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284736&amp;date=12.02.2025&amp;dst=100006&amp;field=134%20\o%20&#1055;&#1088;&#1080;&#1082;&#1072;&#1079;%20&#1052;&#1080;&#1085;&#1090;&#1088;&#1091;&#1076;&#1072;%20&#1056;&#1086;&#1089;&#1089;&#1080;&#1080;%20&#1086;&#1090;%2023.11.2017%20N%20805&#1085;%20\&#1054;%20&#1074;&#1085;&#1077;&#1089;&#1077;&#1085;&#1080;&#1080;%20&#1080;&#1079;&#1084;&#1077;&#1085;&#1077;&#1085;&#1080;&#1081;%20&#1074;%20&#1087;&#1088;&#1080;&#1083;&#1086;&#1078;&#1077;&#1085;&#1080;&#1077;%20N%202%20&#1082;%20&#1087;&#1088;&#1080;&#1082;&#1072;&#1079;&#1091;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%20&#1086;&#1090;%2017%20&#1076;&#1077;&#1082;&#1072;&#1073;&#1088;&#1103;%202010%20&#1075;.%20N%201122&#1085;%20\&#1054;&#1073;%20&#1091;&#1090;&#1074;&#1077;&#1088;&#1078;&#1076;&#1077;&#1085;&#1080;&#1080;%20&#1090;&#1080;&#1087;&#1086;&#1074;&#1099;&#1093;%20&#1085;&#1086;&#1088;&#1084;%20&#1073;&#1077;&#1089;&#1087;&#1083;&#1072;&#1090;&#1085;&#1086;&#1081;%20&#1074;&#1099;&#1076;&#1072;&#1095;&#1080;%20&#1088;&#1072;&#1073;&#1086;&#1090;&#1085;&#1080;&#1082;&#1072;&#1084;%20&#1089;&#1084;&#1099;&#1074;&#1072;&#1102;&#1097;&#1080;&#1093;%20&#1080;%20(&#1080;&#1083;&#1080;)%20&#1086;&#1073;&#1077;&#1079;&#1074;&#1088;&#1077;&#1078;&#1080;&#1074;&#1072;&#1102;&#1097;&#1080;&#1093;%20&#1089;&#1088;&#1077;&#1076;&#1089;&#1090;&#1074;%20&#1080;%20&#1089;&#1090;&#1072;&#1085;&#1076;&#1072;&#1088;&#1090;&#1072;%20&#1073;&#1077;&#1079;&#1086;&#1087;&#1072;&#1089;&#1085;&#1086;&#1089;&#1090;&#1080;%20&#1090;&#1088;&#1091;&#1076;&#1072;%20\&#1054;&#1073;&#1077;&#1089;&#1087;&#1077;&#1095;&#1077;&#1085;&#1080;&#1077;%20&#1088;&#1072;&#1073;&#1086;&#1090;&#1085;&#1080;&#1082;&#1086;&#1074;%20&#1089;&#1084;&#1099;&#1074;&#1072;&#1102;&#1097;&#1080;&#1084;&#1080;%20&#1080;%20(&#1080;&#1083;&#1080;)%20&#1086;&#1073;&#1077;&#1079;&#1074;&#1088;&#1077;&#1078;&#1080;&#1074;&#1072;&#1102;&#1097;&#1080;&#1084;&#1080;%20&#1089;&#1088;&#1077;&#1076;&#1089;&#1090;&#1074;&#1072;&#1084;&#1080;\%20(&#1047;&#1072;&#1088;&#1077;&#1075;&#1080;&#1089;&#1090;&#1088;&#1080;&#1088;&#1086;&#1074;&#1072;&#1085;&#1086;%20&#1074;%20&#1052;&#1080;&#1085;&#1102;&#1089;&#1090;&#1077;%20&#1056;&#1086;&#1089;&#1089;&#1080;&#1080;%2007.12.2017%20N%2049173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https://login.consultant.ru/link/?req=doc&amp;base=LAW&amp;n=405210&amp;date=12.02.2025&amp;dst=100010&amp;field=134%20\o%20&#1055;&#1088;&#1080;&#1082;&#1072;&#1079;%20&#1052;&#1080;&#1085;&#1090;&#1088;&#1091;&#1076;&#1072;%20&#1056;&#1086;&#1089;&#1089;&#1080;&#1080;%20&#1086;&#1090;%2029.10.2021%20N%20766&#1085;%20\&#1054;&#1073;%20&#1091;&#1090;&#1074;&#1077;&#1088;&#1078;&#1076;&#1077;&#1085;&#1080;&#1080;%20&#1055;&#1088;&#1072;&#1074;&#1080;&#1083;%20&#1086;&#1073;&#1077;&#1089;&#1087;&#1077;&#1095;&#1077;&#1085;&#1080;&#1103;%20&#1088;&#1072;&#1073;&#1086;&#1090;&#1085;&#1080;&#1082;&#1086;&#1074;%20&#1089;&#1088;&#1077;&#1076;&#1089;&#1090;&#1074;&#1072;&#1084;&#1080;%20&#1080;&#1085;&#1076;&#1080;&#1074;&#1080;&#1076;&#1091;&#1072;&#1083;&#1100;&#1085;&#1086;&#1081;%20&#1079;&#1072;&#1097;&#1080;&#1090;&#1099;%20&#1080;%20&#1089;&#1084;&#1099;&#1074;&#1072;&#1102;&#1097;&#1080;&#1084;&#1080;%20&#1089;&#1088;&#1077;&#1076;&#1089;&#1090;&#1074;&#1072;&#1084;&#1080;\%20(&#1047;&#1072;&#1088;&#1077;&#1075;&#1080;&#1089;&#1090;&#1088;&#1080;&#1088;&#1086;&#1074;&#1072;&#1085;&#1086;%20&#1074;%20&#1052;&#1080;&#1085;&#1102;&#1089;&#1090;&#1077;%20&#1056;&#1086;&#1089;&#1089;&#1080;&#1080;%2029.12.2021%20N%2066670)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hyperlink" Target="\l%20Par37%20%20\o%20&#1058;&#1048;&#1055;&#1054;&#1042;&#1067;&#1045;%20&#1053;&#1054;&#1056;&#1052;&#1067;" TargetMode="External"/><Relationship Id="rId9" Type="http://schemas.openxmlformats.org/officeDocument/2006/relationships/hyperlink" Target="\l%20Par110%20%20\o%20&#1057;&#1058;&#1040;&#1053;&#1044;&#1040;&#1056;&#1058;" TargetMode="External"/><Relationship Id="rId10" Type="http://schemas.openxmlformats.org/officeDocument/2006/relationships/hyperlink" Target="https://login.consultant.ru/link/?req=doc&amp;base=LAW&amp;n=43533&amp;date=12.02.2025%20\o%20&#1055;&#1086;&#1089;&#1090;&#1072;&#1085;&#1086;&#1074;&#1083;&#1077;&#1085;&#1080;&#1077;%20&#1052;&#1080;&#1085;&#1090;&#1088;&#1091;&#1076;&#1072;%20&#1056;&#1060;%20&#1086;&#1090;%2004.07.2003%20N%2045%20\&#1054;&#1073;%20&#1091;&#1090;&#1074;&#1077;&#1088;&#1078;&#1076;&#1077;&#1085;&#1080;&#1080;%20&#1085;&#1086;&#1088;&#1084;%20&#1073;&#1077;&#1089;&#1087;&#1083;&#1072;&#1090;&#1085;&#1086;&#1081;%20&#1074;&#1099;&#1076;&#1072;&#1095;&#1080;%20&#1088;&#1072;&#1073;&#1086;&#1090;&#1085;&#1080;&#1082;&#1072;&#1084;%20&#1089;&#1084;&#1099;&#1074;&#1072;&#1102;&#1097;&#1080;&#1093;%20&#1080;%20&#1086;&#1073;&#1077;&#1079;&#1074;&#1088;&#1077;&#1078;&#1080;&#1074;&#1072;&#1102;&#1097;&#1080;&#1093;%20&#1089;&#1088;&#1077;&#1076;&#1089;&#1090;&#1074;,%20&#1087;&#1086;&#1088;&#1103;&#1076;&#1082;&#1072;%20&#1080;%20&#1091;&#1089;&#1083;&#1086;&#1074;&#1080;&#1081;%20&#1080;&#1093;%20&#1074;&#1099;&#1076;&#1072;&#1095;&#1080;\%20(&#1047;&#1072;&#1088;&#1077;&#1075;&#1080;&#1089;&#1090;&#1088;&#1080;&#1088;&#1086;&#1074;&#1072;&#1085;&#1086;%20&#1074;%20&#1052;&#1080;&#1085;&#1102;&#1089;&#1090;&#1077;%20&#1056;&#1060;%2015.07.2003%20N%204901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yperlink" Target="\l%20Par52%20%20\o%201" TargetMode="External"/><Relationship Id="rId16" Type="http://schemas.openxmlformats.org/officeDocument/2006/relationships/hyperlink" Target="\l%20Par56%20%20\o%202" TargetMode="External"/><Relationship Id="rId17" Type="http://schemas.openxmlformats.org/officeDocument/2006/relationships/hyperlink" Target="https://login.consultant.ru/link/?req=doc&amp;base=LAW&amp;n=143902&amp;date=12.02.2025&amp;dst=100007&amp;field=134%20\o%20&#1055;&#1088;&#1080;&#1082;&#1072;&#1079;%20&#1052;&#1080;&#1085;&#1090;&#1088;&#1091;&#1076;&#1072;%20&#1056;&#1086;&#1089;&#1089;&#1080;&#1080;%20&#1086;&#1090;%2007.02.2013%20N%2048&#1085;%20\&#1054;%20&#1074;&#1085;&#1077;&#1089;&#1077;&#1085;&#1080;&#1080;%20&#1080;&#1079;&#1084;&#1077;&#1085;&#1077;&#1085;&#1080;&#1081;%20&#1074;%20&#1087;&#1088;&#1080;&#1083;&#1086;&#1078;&#1077;&#1085;&#1080;&#1077;%20N%201%20&#1082;%20&#1087;&#1088;&#1080;&#1082;&#1072;&#1079;&#1091;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%20&#1086;&#1090;%2017%20&#1076;&#1077;&#1082;&#1072;&#1073;&#1088;&#1103;%202010%20&#1075;.%20N%201122&#1085;%20\&#1054;&#1073;%20&#1091;&#1090;&#1074;&#1077;&#1088;&#1078;&#1076;&#1077;&#1085;&#1080;&#1080;%20&#1090;&#1080;&#1087;&#1086;&#1074;&#1099;&#1093;%20&#1085;&#1086;&#1088;&#1084;%20&#1073;&#1077;&#1089;&#1087;&#1083;&#1072;&#1090;&#1085;&#1086;&#1081;%20&#1074;&#1099;&#1076;&#1072;&#1095;&#1080;%20&#1088;&#1072;&#1073;&#1086;&#1090;&#1085;&#1080;&#1082;&#1072;&#1084;%20&#1089;&#1084;&#1099;&#1074;&#1072;&#1102;&#1097;&#1080;&#1093;%20&#1080;%20(&#1080;&#1083;&#1080;)%20&#1086;&#1073;&#1077;&#1079;&#1074;&#1088;&#1077;&#1078;&#1080;&#1074;&#1072;&#1102;&#1097;&#1080;&#1093;%20&#1089;&#1088;&#1077;&#1076;&#1089;&#1090;&#1074;%20&#1080;%20&#1089;&#1090;&#1072;&#1085;&#1076;&#1072;&#1088;&#1090;&#1072;%20&#1073;&#1077;&#1079;&#1086;&#1087;&#1072;&#1089;&#1085;&#1086;&#1089;&#1090;&#1080;%20&#1090;&#1088;&#1091;&#1076;&#1072;%20\&#1054;&#1073;&#1077;&#1089;&#1087;&#1077;&#1095;&#1077;&#1085;&#1080;&#1077;%20&#1088;&#1072;&#1073;&#1086;&#1090;&#1085;&#1080;&#1082;&#1086;&#1074;%20&#1089;&#1084;&#1099;&#1074;&#1072;&#1102;&#1097;&#1080;&#1084;&#1080;%20&#1080;%20(&#1080;&#1083;&#1080;)%20&#1086;&#1073;&#1077;&#1079;&#1074;&#1088;&#1077;&#1078;&#1080;&#1074;&#1072;&#1102;&#1097;&#1080;&#1084;&#1080;%20&#1089;&#1088;&#1077;&#1076;&#1089;&#1090;&#1074;&#1072;&#1084;&#1080;\%20(&#1047;&#1072;&#1088;&#1077;&#1075;&#1080;&#1089;&#1090;&#1088;&#1080;&#1088;&#1086;&#1074;&#1072;&#1085;&#1086;%20&#1074;%20&#1052;&#1080;&#1085;&#1102;&#1089;&#1090;&#1077;%20&#1056;&#1086;&#1089;&#1089;&#1080;&#1080;%2015.03.2013%20N%2027700)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theme" Target="theme/theme1.xml"/><Relationship Id="rId20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footnotes" Target="footnotes.xml"/><Relationship Id="rId24" Type="http://schemas.openxmlformats.org/officeDocument/2006/relationships/endnotes" Target="endnotes.xml"/><Relationship Id="rId25" Type="http://schemas.openxmlformats.org/officeDocument/2006/relationships/styles" Target="styles.xml"/><Relationship Id="rId26" Type="http://schemas.openxmlformats.org/officeDocument/2006/relationships/fontTable" Target="fontTable.xml"/><Relationship Id="rId29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13" Type="http://schemas.openxmlformats.org/officeDocument/2006/relationships/hyperlink" Target="https://www.consultant.ru" TargetMode="External"/></Relationships>
</file>

<file path=word/_rels/footer2.xml.rels><?xml version="1.0" encoding="UTF-8" standalone="yes"?>
<Relationships xmlns="http://schemas.openxmlformats.org/package/2006/relationships"><Relationship Id="rId21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11" Type="http://schemas.openxmlformats.org/officeDocument/2006/relationships/hyperlink" Target="https://www.consultant.ru" TargetMode="External"/></Relationships>
</file>

<file path=word/_rels/header2.xml.rels><?xml version="1.0" encoding="UTF-8" standalone="yes"?>
<Relationships xmlns="http://schemas.openxmlformats.org/package/2006/relationships"><Relationship Id="rId19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17.12.2010 N 1122н(ред. от 29.10.2021)"Об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средствами"(Зарегистрировано в Минюсте России 22.04.2011 N 20562)</dc:title>
</cp:coreProperties>
</file>