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3" Type="http://schemas.openxmlformats.org/officeDocument/2006/relationships/extended-properties" Target="docProps/app.xml"/><Relationship Id="rId44"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Минздрава РФ от 28.05.2001 N 176</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15.08.2011)</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 совершенствовании системы расследования и учета профессиональных заболеваний в Российской Федерации"</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(вместе с "Инструкцией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РФ 27.07.2001 N 2828)</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РФ 27 июля 2001 г. N 2828</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ЗДРАВООХРАНЕНИЯ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28 мая 2001 г. N 176</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СОВЕРШЕНСТВОВАНИИ СИСТЕМЫ РАССЛЕДОВАНИЯ И УЧЕТА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ПРОФЕССИОНАЛЬНЫХ ЗАБОЛЕВАНИЙ В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Минздравсоцразвития РФ от 15.08.2011 N 918н)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исполнение </w:t>
      </w:r>
      <w:hyperlink r:id="rId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Российской Федерации от 15.12.2000 N 967 "Об утверждении Положения о расследовании и учете профессиональных заболеваний" (Собрание законодательства Российской Федерации, 2000, N 52 (часть II), ст. 5149)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Форму извещения об установлении предварительного диагноза острого или хронического профессионального заболевания (отравления) </w:t>
      </w:r>
      <w:hyperlink r:id="rId6">
        <w:r>
          <w:rPr>
            <w:b w:val="false"/>
            <w:rFonts w:ascii="Times New Roman" w:eastAsia="Times New Roman" w:hAnsi="Times New Roman" w:cs="Times New Roman"/>
            <w:sz w:val="24"/>
            <w:i w:val="false"/>
            <w:strike w:val="false"/>
            <w:color w:val="0000ff"/>
          </w:rPr>
          <w:t xml:space="preserve">(Приложение N 1)</w:t>
        </w:r>
      </w:hyperlink>
      <w:r>
        <w:rPr>
          <w:b w:val="false"/>
          <w:rFonts w:ascii="Times New Roman" w:eastAsia="Times New Roman" w:hAnsi="Times New Roman" w:cs="Times New Roman"/>
          <w:sz w:val="24"/>
          <w:i w:val="false"/>
          <w:strike w:val="false"/>
        </w:rPr>
        <w:t xml:space="preserve">.</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Приказом Роспотребнадзора от 31.03.2008 N 103 утверждена </w:t>
            </w:r>
            <w:hyperlink r:id="rId7">
              <w:r>
                <w:rPr>
                  <w:b w:val="false"/>
                  <w:rFonts w:ascii="Times New Roman" w:eastAsia="Times New Roman" w:hAnsi="Times New Roman" w:cs="Times New Roman"/>
                  <w:sz w:val="24"/>
                  <w:i w:val="false"/>
                  <w:strike w:val="false"/>
                  <w:color w:val="0000ff"/>
                </w:rPr>
                <w:t xml:space="preserve">Инструкция</w:t>
              </w:r>
            </w:hyperlink>
            <w:r>
              <w:rPr>
                <w:b w:val="false"/>
                <w:rFonts w:ascii="Times New Roman" w:eastAsia="Times New Roman" w:hAnsi="Times New Roman" w:cs="Times New Roman"/>
                <w:sz w:val="24"/>
                <w:i w:val="false"/>
                <w:strike w:val="false"/>
                <w:color w:val="392c69"/>
              </w:rPr>
              <w:t xml:space="preserve"> по составлению санитарно-гигиенической характеристики условий труда работника при подозрении у него профессионального заболевания.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Форму санитарно-гигиенической характеристики условий труда работника при подозрении у него профессионального заболевания (отравления) </w:t>
      </w:r>
      <w:hyperlink r:id="rId8">
        <w:r>
          <w:rPr>
            <w:b w:val="false"/>
            <w:rFonts w:ascii="Times New Roman" w:eastAsia="Times New Roman" w:hAnsi="Times New Roman" w:cs="Times New Roman"/>
            <w:sz w:val="24"/>
            <w:i w:val="false"/>
            <w:strike w:val="false"/>
            <w:color w:val="0000ff"/>
          </w:rPr>
          <w:t xml:space="preserve">(Приложение N 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Форму извещения об установлении заключительного диагноза острого или хронического профессионального заболевания (отравления), его уточнении или отмене </w:t>
      </w:r>
      <w:hyperlink r:id="rId9">
        <w:r>
          <w:rPr>
            <w:b w:val="false"/>
            <w:rFonts w:ascii="Times New Roman" w:eastAsia="Times New Roman" w:hAnsi="Times New Roman" w:cs="Times New Roman"/>
            <w:sz w:val="24"/>
            <w:i w:val="false"/>
            <w:strike w:val="false"/>
            <w:color w:val="0000ff"/>
          </w:rPr>
          <w:t xml:space="preserve">(Приложение N 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Форму журнала учета профессиональных заболеваний (отравлений) </w:t>
      </w:r>
      <w:hyperlink r:id="rId10">
        <w:r>
          <w:rPr>
            <w:b w:val="false"/>
            <w:rFonts w:ascii="Times New Roman" w:eastAsia="Times New Roman" w:hAnsi="Times New Roman" w:cs="Times New Roman"/>
            <w:sz w:val="24"/>
            <w:i w:val="false"/>
            <w:strike w:val="false"/>
            <w:color w:val="0000ff"/>
          </w:rPr>
          <w:t xml:space="preserve">(Приложение N 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Форму карты учета профессионального заболевания (отравления) </w:t>
      </w:r>
      <w:hyperlink r:id="rId11">
        <w:r>
          <w:rPr>
            <w:b w:val="false"/>
            <w:rFonts w:ascii="Times New Roman" w:eastAsia="Times New Roman" w:hAnsi="Times New Roman" w:cs="Times New Roman"/>
            <w:sz w:val="24"/>
            <w:i w:val="false"/>
            <w:strike w:val="false"/>
            <w:color w:val="0000ff"/>
          </w:rPr>
          <w:t xml:space="preserve">(Приложение N 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Инструкцию о порядке применения </w:t>
      </w:r>
      <w:hyperlink r:id="rId12">
        <w:r>
          <w:rPr>
            <w:b w:val="false"/>
            <w:rFonts w:ascii="Times New Roman" w:eastAsia="Times New Roman" w:hAnsi="Times New Roman" w:cs="Times New Roman"/>
            <w:sz w:val="24"/>
            <w:i w:val="false"/>
            <w:strike w:val="false"/>
            <w:color w:val="0000ff"/>
          </w:rPr>
          <w:t xml:space="preserve">Положения</w:t>
        </w:r>
      </w:hyperlink>
      <w:r>
        <w:rPr>
          <w:b w:val="false"/>
          <w:rFonts w:ascii="Times New Roman" w:eastAsia="Times New Roman" w:hAnsi="Times New Roman" w:cs="Times New Roman"/>
          <w:sz w:val="24"/>
          <w:i w:val="false"/>
          <w:strike w:val="false"/>
        </w:rPr>
        <w:t xml:space="preserve"> о расследовании и учете профессиональных заболеваний, утвержденного Постановлением Правительства Российской Федерации от 15.12.2000 N 967 </w:t>
      </w:r>
      <w:hyperlink r:id="rId13">
        <w:r>
          <w:rPr>
            <w:b w:val="false"/>
            <w:rFonts w:ascii="Times New Roman" w:eastAsia="Times New Roman" w:hAnsi="Times New Roman" w:cs="Times New Roman"/>
            <w:sz w:val="24"/>
            <w:i w:val="false"/>
            <w:strike w:val="false"/>
            <w:color w:val="0000ff"/>
          </w:rPr>
          <w:t xml:space="preserve">(Приложение N 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Органам управления здравоохранением субъектов Российской Федерации, центрам госсанэпиднадзора в субъектах Российской Федерации и регионах на транспорте: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Организовать обучение специалистов лечебно-профилактических и санитарно-эпидемиологических учреждений по вопросам расследования и учета профессиональных заболеваний (отравлений).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Принять меры, направленные на дальнейшее повышение качества расследования случаев профессиональных заболеваний и обеспечения медицинской помощью заболевших.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Главным врачам центров госсанэпиднадзора в субъектах Российской Федерации и регионах на транспорте: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Обеспечить компьютерную обработку карт учета и информации о профессиональном заболевании (отравлении), передачу ее за отчетный год в Федеральный центр госсанэпиднадзора Минздрава России в электронном виде и (или) на магнитных носителях для последующей ее обработки не позднее 1 февраля следующего за отчетным периодом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Обеспечить учет лиц с впервые выявленными профессиональными заболеваниями (отравлениями) по субъекту Российской Федерации и региону на транспорте в целом, независимо от ведомственной подчиненности и формы собственности организаций, на которых зарегистрировано профессиональное заболевание (отравление).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Федеральному центру госсанэпиднадзора Минздрава России обеспечить компьютерную обработку информации о профессиональных заболеваниях (отравлениях) в субъектах Российской Федерации и регионах на транспорте, проведение углубленного анализа профессиональной заболеваемости среди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Не применять на территории Российской Федерации Приказ Министерства здравоохранения СССР от 30 сентября 1986 г. N 1303 "О совершенствовании системы регистрации, расследования, учета и анализа профессиональных заболеваний в СССР".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Контроль за исполнением настоящего Приказа возложить на первого заместителя Министра Г.Г. Онищенко.</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Ю.Л.ШЕВЧЕНКО</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1" w:name="Par40"/>
      <w:bookmarkEnd w:id="1"/>
      <w:r>
        <w:rPr>
          <w:b w:val="false"/>
          <w:rFonts w:ascii="Times New Roman" w:eastAsia="Times New Roman" w:hAnsi="Times New Roman" w:cs="Times New Roman"/>
          <w:sz w:val="24"/>
          <w:i w:val="false"/>
          <w:strike w:val="false"/>
        </w:rPr>
        <w:t xml:space="preserve">Приложение N 1</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│Форма N    /У от ... 2001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2" w:name="Par53"/>
      <w:bookmarkEnd w:id="2"/>
      <w:r>
        <w:rPr>
          <w:b w:val="false"/>
          <w:rFonts w:ascii="Courier New" w:eastAsia="Courier New" w:hAnsi="Courier New" w:cs="Courier New"/>
          <w:sz w:val="20"/>
          <w:i w:val="false"/>
          <w:strike w:val="false"/>
        </w:rPr>
        <w:t xml:space="preserve">                            ИЗВЕЩЕНИЕ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 УСТАНОВЛЕНИИ ПРЕДВАРИТЕЛЬНОГО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ДИАГНОЗА ОСТРОГО ИЛИ ХРОНИЧЕСКОГО ПРОФЕССИОНАЛЬНОГО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ЗАБОЛЕВАНИЯ (ОТРАВЛЕНИЯ)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 N _____ от "__" 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Фамилия, имя, отчество 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Пол _____________ 3. Возраст 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(полных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Наименование предприятия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наименование предприятия,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учреждения, его ведомственная принадлежность)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Наименование цеха, отделения, участка 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Профессия, должность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Предварительный    диагноз     (диагнозы)     профессионального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заболевания (отравления),  заболеваний (отравлений), дата его (их)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постановки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7.1.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   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7.2.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   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7.3.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   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Вредные   производственные   факторы   и   причины,   вызвавшие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заболевание или отравление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Наименование учреждения, установившего диагноз (диагнозы) 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Главный врач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(И.О.Ф.)</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М.П.</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отправления извещения "__" 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врача, пославшего извещение ____________   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получения извещения "__" 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врача, получившего извещение __________   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3" w:name="Par111"/>
      <w:bookmarkEnd w:id="3"/>
      <w:r>
        <w:rPr>
          <w:b w:val="false"/>
          <w:rFonts w:ascii="Times New Roman" w:eastAsia="Times New Roman" w:hAnsi="Times New Roman" w:cs="Times New Roman"/>
          <w:sz w:val="24"/>
          <w:i w:val="false"/>
          <w:strike w:val="false"/>
        </w:rPr>
        <w:t xml:space="preserve">Приложение N 2</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Минздравсоцразвития РФ от 15.08.2011 N 918н)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Код формы по </w:t>
      </w:r>
      <w:hyperlink r:id="rId14">
        <w:r>
          <w:rPr>
            <w:b w:val="false"/>
            <w:rFonts w:ascii="Courier New" w:eastAsia="Courier New" w:hAnsi="Courier New" w:cs="Courier New"/>
            <w:sz w:val="20"/>
            <w:i w:val="false"/>
            <w:strike w:val="false"/>
            <w:color w:val="0000ff"/>
          </w:rPr>
          <w:t xml:space="preserve">ОКУД</w:t>
        </w:r>
      </w:hyperlink>
      <w:r>
        <w:rPr>
          <w:b w:val="false"/>
          <w:rFonts w:ascii="Courier New" w:eastAsia="Courier New" w:hAnsi="Courier New" w:cs="Courier New"/>
          <w:sz w:val="20"/>
          <w:i w:val="false"/>
          <w:strike w:val="false"/>
        </w:rPr>
        <w:t xml:space="preserve"> 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Код учреждения по ОКПО 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Министерство здравоохранения      Медицинская документация 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Российской Федерации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Наименование учреждения                Форма N ___/у-2001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УТВЕРЖДАЮ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Главный государственный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санитарный врач по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(административная территория)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 подпись)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 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Печать учреждения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color w:val="392c69"/>
        </w:rPr>
      </w:pPr>
      <w:r>
        <w:rPr>
          <w:b w:val="false"/>
          <w:rFonts w:ascii="Courier New" w:eastAsia="Courier New" w:hAnsi="Courier New" w:cs="Courier New"/>
          <w:sz w:val="20"/>
          <w:i w:val="false"/>
          <w:strike w:val="false"/>
          <w:color w:val="392c69"/>
        </w:rPr>
        <w:t xml:space="preserve">    Приказом  Роспотребнадзора  от  31.03.2008  N  103  утверждена</w:t>
      </w:r>
    </w:p>
    <w:p>
      <w:pPr>
        <w:jc w:val="both"/>
        <w:ind w:firstLine="0" w:left="0"/>
        <w:spacing w:after="0" w:line="240"/>
        <w:rPr>
          <w:b w:val="false"/>
          <w:rFonts w:ascii="Courier New" w:eastAsia="Courier New" w:hAnsi="Courier New" w:cs="Courier New"/>
          <w:sz w:val="20"/>
          <w:i w:val="false"/>
          <w:strike w:val="false"/>
          <w:color w:val="392c69"/>
        </w:rPr>
      </w:pPr>
      <w:hyperlink r:id="rId7">
        <w:r>
          <w:rPr>
            <w:b w:val="false"/>
            <w:rFonts w:ascii="Courier New" w:eastAsia="Courier New" w:hAnsi="Courier New" w:cs="Courier New"/>
            <w:sz w:val="20"/>
            <w:i w:val="false"/>
            <w:strike w:val="false"/>
            <w:color w:val="0000ff"/>
          </w:rPr>
          <w:t xml:space="preserve">Инструкция</w:t>
        </w:r>
      </w:hyperlink>
      <w:r>
        <w:rPr>
          <w:b w:val="false"/>
          <w:rFonts w:ascii="Courier New" w:eastAsia="Courier New" w:hAnsi="Courier New" w:cs="Courier New"/>
          <w:sz w:val="20"/>
          <w:i w:val="false"/>
          <w:strike w:val="false"/>
          <w:color w:val="392c69"/>
        </w:rPr>
        <w:t xml:space="preserve">  по  составлению санитарно-гигиенической характеристики</w:t>
      </w:r>
    </w:p>
    <w:p>
      <w:pPr>
        <w:jc w:val="both"/>
        <w:ind w:firstLine="0" w:left="0"/>
        <w:spacing w:after="0" w:line="240"/>
        <w:rPr>
          <w:b w:val="false"/>
          <w:rFonts w:ascii="Courier New" w:eastAsia="Courier New" w:hAnsi="Courier New" w:cs="Courier New"/>
          <w:sz w:val="20"/>
          <w:i w:val="false"/>
          <w:strike w:val="false"/>
          <w:color w:val="392c69"/>
        </w:rPr>
      </w:pPr>
      <w:r>
        <w:rPr>
          <w:b w:val="false"/>
          <w:rFonts w:ascii="Courier New" w:eastAsia="Courier New" w:hAnsi="Courier New" w:cs="Courier New"/>
          <w:sz w:val="20"/>
          <w:i w:val="false"/>
          <w:strike w:val="false"/>
          <w:color w:val="392c69"/>
        </w:rPr>
        <w:t xml:space="preserve">условий  труда  работника  при подозрении у него профессионального</w:t>
      </w:r>
    </w:p>
    <w:p>
      <w:pPr>
        <w:jc w:val="both"/>
        <w:ind w:firstLine="0" w:left="0"/>
        <w:spacing w:after="0" w:line="240"/>
        <w:rPr>
          <w:b w:val="false"/>
          <w:rFonts w:ascii="Courier New" w:eastAsia="Courier New" w:hAnsi="Courier New" w:cs="Courier New"/>
          <w:sz w:val="20"/>
          <w:i w:val="false"/>
          <w:strike w:val="false"/>
          <w:color w:val="392c69"/>
        </w:rPr>
      </w:pPr>
      <w:r>
        <w:rPr>
          <w:b w:val="false"/>
          <w:rFonts w:ascii="Courier New" w:eastAsia="Courier New" w:hAnsi="Courier New" w:cs="Courier New"/>
          <w:sz w:val="20"/>
          <w:i w:val="false"/>
          <w:strike w:val="false"/>
          <w:color w:val="392c69"/>
        </w:rPr>
        <w:t xml:space="preserve">заболевания.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САНИТАРНО-ГИГИЕНИЧЕСКАЯ ХАРАКТЕРИСТИКА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УСЛОВИЙ ТРУДА РАБОТНИКА ПРИ ПОДОЗРЕНИИ У НЕГО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ПРОФЕССИОНАЛЬНОГО ЗАБОЛЕВАНИЯ (ОТРАВЛЕНИЯ) &lt;*&gt;</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 N 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число, месяц, год</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&lt;*&gt;  Далее   по   тексту   используется   термин   "санитарно-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гигиеническая характеристика".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Работник 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Год рождения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 Основанием для составления настоящей  санитарно-гигиенической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характеристики является извещение 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лечебно-профилактического учреждения,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юридический адрес,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Наименование предприятия (работодателя) 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полное наименование,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юридический адрес, фактический адрес, форма собственности,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коды: </w:t>
      </w:r>
      <w:hyperlink r:id="rId15">
        <w:r>
          <w:rPr>
            <w:b w:val="false"/>
            <w:rFonts w:ascii="Courier New" w:eastAsia="Courier New" w:hAnsi="Courier New" w:cs="Courier New"/>
            <w:sz w:val="20"/>
            <w:i w:val="false"/>
            <w:strike w:val="false"/>
            <w:color w:val="0000ff"/>
          </w:rPr>
          <w:t xml:space="preserve">ОКФС</w:t>
        </w:r>
      </w:hyperlink>
      <w:r>
        <w:rPr>
          <w:b w:val="false"/>
          <w:rFonts w:ascii="Courier New" w:eastAsia="Courier New" w:hAnsi="Courier New" w:cs="Courier New"/>
          <w:sz w:val="20"/>
          <w:i w:val="false"/>
          <w:strike w:val="false"/>
        </w:rPr>
        <w:t xml:space="preserve">, ОКПО, </w:t>
      </w:r>
      <w:hyperlink r:id="rId16">
        <w:r>
          <w:rPr>
            <w:b w:val="false"/>
            <w:rFonts w:ascii="Courier New" w:eastAsia="Courier New" w:hAnsi="Courier New" w:cs="Courier New"/>
            <w:sz w:val="20"/>
            <w:i w:val="false"/>
            <w:strike w:val="false"/>
            <w:color w:val="0000ff"/>
          </w:rPr>
          <w:t xml:space="preserve">ОКОНХ</w:t>
        </w:r>
      </w:hyperlink>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2.1. Наименование объекта (цеха, участка, мастерской и пр.) 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2.2. Лицензия на вид деятельности работодателя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Профессия или должность работника 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 </w:t>
      </w:r>
      <w:hyperlink r:id="rId17">
        <w:r>
          <w:rPr>
            <w:b w:val="false"/>
            <w:rFonts w:ascii="Courier New" w:eastAsia="Courier New" w:hAnsi="Courier New" w:cs="Courier New"/>
            <w:sz w:val="20"/>
            <w:i w:val="false"/>
            <w:strike w:val="false"/>
            <w:color w:val="0000ff"/>
          </w:rPr>
          <w:t xml:space="preserve">ОКПДТР</w:t>
        </w:r>
      </w:hyperlink>
      <w:r>
        <w:rPr>
          <w:b w:val="false"/>
          <w:rFonts w:ascii="Courier New" w:eastAsia="Courier New" w:hAnsi="Courier New" w:cs="Courier New"/>
          <w:sz w:val="20"/>
          <w:i w:val="false"/>
          <w:strike w:val="false"/>
        </w:rPr>
        <w:t xml:space="preserve"> или по ОКПРД ОК 016-94</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3.1. Общий стаж работы 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3.2. Стаж работы в данной профессии (должности)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3.3. Стаж работы в условиях воздействия опасных, вредных веществ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неблагоприятных  производственных факторов,  которые могли вызвать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профзаболевание (отравление) 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3.4. Профмаршрут (согласно записям в трудовой книжке) 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Примечание: работа в особых  условиях,  а  также  виды  фактически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выполняемых  работ,  не  указанных  в трудовой книжке,  вносятся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отметкой "со  слов  работающего"  (без  письменного  подтверждения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работника и подтверждения работодателем или свидетелями информация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однозначно не признается).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Описание условий труда на данном участке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достаточность площади, объема, расстановка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оборудования и его характеристика (герметизация,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автоматизация, паспорта вентустановок и др.),</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состояние световой среды, НТД на оборудование,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несоблюдение технологических регламентов,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производственного процесса, нарушения режима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эксплуатации технологического оборудования, приборов,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рабочего инструментария; нарушения режима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наличие аварийных ситуаций, выход из строя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защитных средств, освещения; несоблюдение санитарных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правил, норм и гигиенических нормативов,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правил по охране труда; несовершенство технологии,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механизмов, оборудования, инструментария;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неэффективность работы вентиляции, кондиционирования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воздуха, защитных средств, механизмов,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средств индивидуальной защиты; отсутствие мер и средств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спасательного характера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Работа на   открытой   территории:   показатели   максимальной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минимальной среднемесячной   температуры   воздуха,  относительная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влажность, скорость ветра, интенсивность прямой солнечной радиации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для данной местности, для теплого и холодного периодов 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4.1. Детальное   описание  выполняемых  технологических  операций,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производственной деятельности с указанием  всех  вредных  факторов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производственной среды   и   трудового  процесса,  их  источников,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длительность времени  их  воздействия  в  %   (технологическая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техническая документация:  ТР,  ТК,  хронометраж,  технологический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режим, материалы аттестации рабочих мест) 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4.2. Состав и рецептура применяемых веществ  и  материалов  (ГОСТ,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ТУ, ТР,  рабочая  инструкция,  инструкции по технике безопасности,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санитарно-эпидемиологическое заключение и др.) 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4.3. Характеристика   режимов  труда  и  отдыха:  вахтовый  метод,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сменность, наличие,      продолжительность      и       соблюдение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регламентированных перерывов   (табель  учета  рабочего  времени),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наличие сверхурочных работ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4.4. Использование средств  индивидуальной  защиты  (СИЗ):  марки,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обеспеченность с    учетом    соответствующего    неблагоприятного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производственного фактора,  систематичность применения,  нарушение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правил использования, хранения и применения (ГОСТ ССБТ, инструкция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 охране труда)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Состояние  производственной  среды  в  зависимости  от  вредных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производственных факторов на рабочих местах. Данные лабораторных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инструментальных исследований   (по   возможности   приводятся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динамике за  5  лет).  Организации, их  проводившие.  Сведения   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лабораториях (испытательных  центрах),  проводивших  исследования,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проведения указанных исследований. Если используются архивные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или литературные   данные,   указать  источник,  год.  Обязательно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указывается время воздействия вредного фактора в течение смены 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Содержание в воздухе рабочей зоны  вредных  веществ  химической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природы: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фактическая концентрация, ПДК, кратность превышения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6.1.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Вредные вещества 1 - 2 класса опасности, за исключением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перечисленных ниже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6.2.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Вредные вещества 3 - 4 класса опасности, за исключением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перечисленных ниже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6.3.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Вещества, опасные для развития острого отравления: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остронаправленным механизмом действия, раздражающего действия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6.4.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Канцерогены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6.5.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Аллергены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6.6.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Противоопухолевые лекарственные средства,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гормоны (эстрогены)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6.7.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Наркотические анальгетики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Уровни загрязнения кожных покровов вредными веществами 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согласно ГН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Содержание   в   воздухе   рабочей   зоны   вредных    веществ,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биологической природы (фактический уровень, ПДК, превышение ПДК 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 раз)</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8.1.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Микроорганизмы-продуценты, препараты, содержащие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живые клетки и споры микроорганизмов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8.2.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Белковые препараты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8.3.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Патогенные микроорганизмы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8.4. Наличие контакта с возбудителями инфекционных и  паразитарных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заболеваний 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Содержание  в  воздухе  рабочей  зоны аэрозолей преимущественно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фиброгенного  действия,   асбестсодержащих    пыль:    фактическая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концентрация, ПДК, кратность превышения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9.1.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Пыли выраженно- и умеренно фиброгенные (А)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9.2.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Пыли слабофиброгенные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9.3.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Асбестсодержащие пыли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 Шум,   локальная   и   общая  вибрация,  инфра-  и  ультразвук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(фактические уровни, ПДУ, степень превышения)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10.1.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Шум (эквивалентный уровень звука, дБА)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10.2.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Вибрация локальная (эквивалентный корректированный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уровень виброскорости, дБ)</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10.3.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Вибрация общая (эквивалентный корректированный уровень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виброскорости, дБ)</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10.4.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Инфразвук (общий уровень звукового давления, дБ Лин)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10.5.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Ультразвук воздушный (уровни звукового давления в 1/3</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октавных полосах частот, дБ)</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10.6.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Ультразвук контактный (уровень виброскорости, дБ)</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Показатели   микроклимата   для   производственных   помещений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(параметры, степень соответствия санитарным нормам)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11.1.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Температура воздуха, град.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11.2.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Скорость движения воздуха, м/с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11.3.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Влажность воздуха,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11.4.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ТНС-индекс, град.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11.5.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Тепловое излучение, Вт/м2</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 Световая среда.  Основные характеристики. Степень соответствия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показателей световой среды производственных  помещений  санитарно-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гигиеническим нормам.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Естественное освещение: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12.1.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(КЕО,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Искусственное освещение: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12.2.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Освещенность рабочей поверхности (Е, лк)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12.3.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Показатель ослепленности, Р, отн. ед.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12.4.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Отраженная слепящая блесткость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12.5.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Коэффициент пульсации освещенности, Кп,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13. Параметры ионизирующих излучений ПДУ, степень превышения 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 Параметры  неионизирующих  электромагнитных полей и излучений,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ПДУ, степень превышения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14.1.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Геомагнитное поле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14.2.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Электростатическое поле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14.3.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Постоянное магнитное поле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14.4.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Электрические поля промышленной частоты (50 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14.5.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Магнитные поля промышленной частоты (50 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14.6.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ЭМИ, создаваемые ВТД и ПВЭМ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14.7.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ЭМИ радиочастотного диапазона: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0,01 - 0,03 МГц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14.8.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0,03 - 3,0 МГц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14.9. 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3,0 - 30,0 МГц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14.10.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30,0 - 300,0 МГц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14.11.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300,0 МГц - 300,0 ГГц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14.12.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ЭМИ оптического диапазона: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Лазерное излучение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14.13.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Ультрафиолетовое излучение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15. Показатели тяжести трудового процесса </w:t>
      </w:r>
      <w:hyperlink r:id="rId1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16. Исключен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17. Показатели напряженности трудового процесса </w:t>
      </w:r>
      <w:hyperlink r:id="rId19">
        <w:r>
          <w:rPr>
            <w:b w:val="false"/>
            <w:rFonts w:ascii="Courier New" w:eastAsia="Courier New" w:hAnsi="Courier New" w:cs="Courier New"/>
            <w:sz w:val="20"/>
            <w:i w:val="false"/>
            <w:strike w:val="false"/>
            <w:color w:val="0000ff"/>
          </w:rPr>
          <w:t xml:space="preserve">&lt;**&gt;</w:t>
        </w:r>
      </w:hyperlink>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18. Исключен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19. Наличие, состояние и использование санитарно-бытовых помещений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20. Обеспеченность питанием,  в т.ч.  профилактическим,   лечебно-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профилактическим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21. Медицинское обеспечение (прохождение периодических медицинских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осмотров), результаты 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22. Имелось ли у  работника  ранее  установленное профессиональное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заболевание (отравление),    направлялся   ли   в   профцентр   (к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профпатологу) для установления связи заболевания с профессией 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23. Наличие профзаболеваний или отравлений в данном цехе, участке,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профессиональной группе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24. Заключение о состоянии условий труда 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25. Санитарно-гигиеническую   характеристику  по  условиям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составил врач отдела ЦГСЭН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отдела, отделения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 полностью)</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Согласовано заведующим отделом, отделением 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санитарно-гигиенической характеристикой ознакомлены: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Работодатель _________________________________ подпись 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 полностью)</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Работник (доверенное лицо)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 полностью для доверенного лица)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Санитарно-гигиеническая характеристика составлена в ___ экз.</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461"/>
      <w:bookmarkEnd w:id="4"/>
      <w:r>
        <w:rPr>
          <w:b w:val="false"/>
          <w:rFonts w:ascii="Times New Roman" w:eastAsia="Times New Roman" w:hAnsi="Times New Roman" w:cs="Times New Roman"/>
          <w:sz w:val="24"/>
          <w:i w:val="false"/>
          <w:strike w:val="false"/>
        </w:rPr>
        <w:t xml:space="preserve">&lt;*&gt; Обязательно заполняется в случае подозрения на профессиональное заболевание костно-мышечной или периферической нервной системы, а также при смешанных формах. При отсутствии такого диагноза допускается указать общий класс тяжести по приоритетным признакам.</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462"/>
      <w:bookmarkEnd w:id="5"/>
      <w:r>
        <w:rPr>
          <w:b w:val="false"/>
          <w:rFonts w:ascii="Times New Roman" w:eastAsia="Times New Roman" w:hAnsi="Times New Roman" w:cs="Times New Roman"/>
          <w:sz w:val="24"/>
          <w:i w:val="false"/>
          <w:strike w:val="false"/>
        </w:rPr>
        <w:t xml:space="preserve">&lt;**&gt; Допускается указать класс напряженности по совокупности составляющих характеристик.</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6" w:name="Par468"/>
      <w:bookmarkEnd w:id="6"/>
      <w:r>
        <w:rPr>
          <w:b w:val="false"/>
          <w:rFonts w:ascii="Times New Roman" w:eastAsia="Times New Roman" w:hAnsi="Times New Roman" w:cs="Times New Roman"/>
          <w:sz w:val="24"/>
          <w:i w:val="false"/>
          <w:strike w:val="false"/>
        </w:rPr>
        <w:t xml:space="preserve">Приложение N 3</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│Форма N _____/У от ... 2001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7" w:name="Par480"/>
      <w:bookmarkEnd w:id="7"/>
      <w:r>
        <w:rPr>
          <w:b w:val="false"/>
          <w:rFonts w:ascii="Courier New" w:eastAsia="Courier New" w:hAnsi="Courier New" w:cs="Courier New"/>
          <w:sz w:val="20"/>
          <w:i w:val="false"/>
          <w:strike w:val="false"/>
        </w:rPr>
        <w:t xml:space="preserve">                            ИЗВЕЩЕНИЕ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 УСТАНОВЛЕНИИ ЗАКЛЮЧИТЕЛЬНОГО ДИАГНОЗА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ОСТРОГО ИЛИ ХРОНИЧЕСКОГО ПРОФЕССИОНАЛЬНОГО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ЗАБОЛЕВАНИЯ (ОТРАВЛЕНИЯ), ЕГО УТОЧНЕНИИ ИЛИ ОТМЕНЕ</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 N _______ от "__" 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Фамилия, имя, отчество 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Пол 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Возраст ___________ (полных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Наименование предприятия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наименование предприятия,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учреждения, его ведомственная принадлежность)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Наименование цеха, отделения, участка 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Профессия, должность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Заключительный диагноз (диагнозы) профессионального заболевания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или отравления   (заболеваний   или  отравлений),  дата  его  (их)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постановки, изменения, уточнения или отмены: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7.1.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случае изменения, уточнения или отмены диагнозов также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указываются первоначальные диагнозы)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7.2.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7.3.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Вредные   производственные   факторы   и   причины,   вызвавшие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профзаболевание или отравление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(нужное 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подчеркнуть)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Причины изменения, уточнения или отмены диагноза (диагнозов)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 Наименование     учреждения,    установившего,    изменившего,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уточнившего или отменившего диагноз (диагнозы) 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Главный врач _________________          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(И.О.Ф.)</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М.П.</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отправления извещения "__" ________________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врача, пославшего извещение ____________   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получения извещения "__" ________________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врача, получившего извещение ___________   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(И.О.Ф.)</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8" w:name="Par534"/>
      <w:bookmarkEnd w:id="8"/>
      <w:r>
        <w:rPr>
          <w:b w:val="false"/>
          <w:rFonts w:ascii="Times New Roman" w:eastAsia="Times New Roman" w:hAnsi="Times New Roman" w:cs="Times New Roman"/>
          <w:sz w:val="24"/>
          <w:i w:val="false"/>
          <w:strike w:val="false"/>
        </w:rPr>
        <w:t xml:space="preserve">Приложение N 4</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1"/>
          <w:footerReference w:type="default" r:id="rId23"/>
        </w:sectPr>
      </w:pPr>
    </w:p>
    <w:tbl>
      <w:tblPr>
        <w:tblLayout w:type="fixed"/>
        <w:tblInd w:w="0" w:type="dxa"/>
        <w:tblW w:w="0" w:type="auto"/>
        <w:tblCellMar>
          <w:bottom w:w="75" w:type="dxa"/>
          <w:left w:w="40" w:type="dxa"/>
          <w:right w:w="40" w:type="dxa"/>
          <w:top w:w="75" w:type="dxa"/>
        </w:tblCellMar>
        <w:tblBorders>
          <w:left w:sz="0" w:space="0" w:val="nil"/>
          <w:right w:sz="0" w:space="0" w:val="nil"/>
          <w:top w:sz="0" w:space="0" w:val="nil"/>
          <w:bottom w:sz="0" w:space="0" w:val="nil"/>
          <w:insideV w:sz="0" w:space="0" w:val="nil"/>
          <w:insideH w:sz="0" w:space="0" w:val="nil"/>
        </w:tblBorders>
      </w:tblPr>
      <w:tblGrid>
        <w:gridCol w:w="3199"/>
        <w:gridCol w:w="3240"/>
      </w:tblGrid>
      <w:tr>
        <w:trPr>
          <w:trHeight w:val="180" w:hRule="atLeast"/>
        </w:trPr>
        <w:tc>
          <w:tcPr>
            <w:tcW w:type="dxa" w:w="3199"/>
            <w:tcBorders>
              <w:right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tcW w:type="dxa" w:w="324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Код формы по </w:t>
            </w:r>
            <w:hyperlink r:id="rId14">
              <w:r>
                <w:rPr>
                  <w:b w:val="false"/>
                  <w:rFonts w:ascii="Courier New" w:eastAsia="Courier New" w:hAnsi="Courier New" w:cs="Courier New"/>
                  <w:sz w:val="14"/>
                  <w:i w:val="false"/>
                  <w:strike w:val="false"/>
                  <w:color w:val="0000ff"/>
                </w:rPr>
                <w:t xml:space="preserve">ОКУД</w:t>
              </w:r>
            </w:hyperlink>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Код учреждения по ОКПО                </w:t>
            </w:r>
          </w:p>
        </w:tc>
      </w:tr>
    </w:tbl>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tblW w:w="0" w:type="auto"/>
        <w:tblCellMar>
          <w:bottom w:w="75" w:type="dxa"/>
          <w:left w:w="40" w:type="dxa"/>
          <w:right w:w="40" w:type="dxa"/>
          <w:top w:w="75" w:type="dxa"/>
        </w:tblCellMar>
        <w:tblBorders>
          <w:left w:sz="0" w:space="0" w:val="nil"/>
          <w:right w:sz="0" w:space="0" w:val="nil"/>
          <w:top w:sz="0" w:space="0" w:val="nil"/>
          <w:bottom w:sz="0" w:space="0" w:val="nil"/>
          <w:insideV w:sz="0" w:space="0" w:val="nil"/>
          <w:insideH w:sz="0" w:space="0" w:val="nil"/>
        </w:tblBorders>
      </w:tblPr>
      <w:tblGrid>
        <w:gridCol w:w="2470"/>
        <w:gridCol w:w="1620"/>
        <w:gridCol w:w="2430"/>
      </w:tblGrid>
      <w:tr>
        <w:trPr>
          <w:trHeight w:val="180" w:hRule="atLeast"/>
        </w:trPr>
        <w:tc>
          <w:tcPr>
            <w:tcW w:type="dxa" w:w="247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Министерство здравоохранения</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Российской Федерации    </w:t>
            </w:r>
          </w:p>
        </w:tc>
        <w:tc>
          <w:tcPr>
            <w:tcW w:type="dxa" w:w="162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restart"/>
            <w:tcW w:type="dxa" w:w="243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Медицинская документация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Форма N .../у-... утверждена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Минздравом России N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                          </w:t>
            </w:r>
          </w:p>
        </w:tc>
      </w:tr>
      <w:tr>
        <w:trPr>
          <w:trHeight w:val="180" w:hRule="atLeast"/>
        </w:trPr>
        <w:tc>
          <w:tcPr>
            <w:tcW w:type="dxa" w:w="247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Наименование учреждения  </w:t>
            </w:r>
          </w:p>
        </w:tc>
        <w:tc>
          <w:tcPr>
            <w:tcW w:type="dxa" w:w="162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243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14"/>
          <w:i w:val="false"/>
          <w:strike w:val="false"/>
        </w:rPr>
      </w:pPr>
      <w:bookmarkStart w:id="9" w:name="Par554"/>
      <w:bookmarkEnd w:id="9"/>
      <w:r>
        <w:rPr>
          <w:b w:val="false"/>
          <w:rFonts w:ascii="Courier New" w:eastAsia="Courier New" w:hAnsi="Courier New" w:cs="Courier New"/>
          <w:sz w:val="14"/>
          <w:i w:val="false"/>
          <w:strike w:val="false"/>
        </w:rPr>
        <w:t xml:space="preserve">                              ЖУРНАЛ</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УЧЕТА ПРОФЕССИОНАЛЬНЫХ ЗАБОЛЕВАНИЙ (ОТРАВЛЕНИЙ)</w:t>
      </w:r>
    </w:p>
    <w:p>
      <w:pPr>
        <w:jc w:val="both"/>
        <w:ind w:firstLine="0" w:left="0"/>
        <w:spacing w:after="0" w:line="240"/>
        <w:rPr>
          <w:b w:val="false"/>
          <w:rFonts w:ascii="Courier New" w:eastAsia="Courier New" w:hAnsi="Courier New" w:cs="Courier New"/>
          <w:sz w:val="14"/>
          <w:i w:val="false"/>
          <w:strike w:val="false"/>
        </w:rPr>
      </w:pP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Начат "__" ________ 20__ г.     Окончен "__" _________ 20__ г.</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tblW w:w="0" w:type="auto"/>
        <w:tblCellMar>
          <w:bottom w:w="75" w:type="dxa"/>
          <w:left w:w="40" w:type="dxa"/>
          <w:right w:w="40" w:type="dxa"/>
          <w:top w:w="75" w:type="dxa"/>
        </w:tblCellMar>
        <w:tblBorders>
          <w:left w:sz="0" w:space="0" w:val="nil"/>
          <w:right w:sz="0" w:space="0" w:val="nil"/>
          <w:top w:sz="0" w:space="0" w:val="nil"/>
          <w:bottom w:sz="0" w:space="0" w:val="nil"/>
          <w:insideV w:sz="0" w:space="0" w:val="nil"/>
          <w:insideH w:sz="0" w:space="0" w:val="nil"/>
        </w:tblBorders>
      </w:tblPr>
      <w:tblGrid>
        <w:gridCol w:w="445"/>
        <w:gridCol w:w="810"/>
        <w:gridCol w:w="405"/>
        <w:gridCol w:w="567"/>
        <w:gridCol w:w="729"/>
        <w:gridCol w:w="729"/>
        <w:gridCol w:w="810"/>
        <w:gridCol w:w="729"/>
        <w:gridCol w:w="1053"/>
        <w:gridCol w:w="891"/>
        <w:gridCol w:w="891"/>
        <w:gridCol w:w="891"/>
        <w:gridCol w:w="891"/>
        <w:gridCol w:w="972"/>
        <w:gridCol w:w="648"/>
        <w:gridCol w:w="648"/>
      </w:tblGrid>
      <w:tr>
        <w:trPr>
          <w:trHeight w:val="180" w:hRule="atLeast"/>
        </w:trPr>
        <w:tc>
          <w:tcPr>
            <w:vMerge w:val="restart"/>
            <w:tcW w:type="dxa" w:w="445"/>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N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п/п</w:t>
            </w:r>
          </w:p>
        </w:tc>
        <w:tc>
          <w:tcPr>
            <w:vMerge w:val="restart"/>
            <w:tcW w:type="dxa" w:w="81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Фамилия,</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имя,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отчество</w:t>
            </w:r>
          </w:p>
        </w:tc>
        <w:tc>
          <w:tcPr>
            <w:vMerge w:val="restart"/>
            <w:tcW w:type="dxa" w:w="405"/>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Пол</w:t>
            </w:r>
          </w:p>
        </w:tc>
        <w:tc>
          <w:tcPr>
            <w:vMerge w:val="restart"/>
            <w:tcW w:type="dxa" w:w="567"/>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Воз-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раст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(пол-</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ных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лет) </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Работо-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датель </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Отрасль</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произ-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водства</w:t>
            </w:r>
          </w:p>
        </w:tc>
        <w:tc>
          <w:tcPr>
            <w:vMerge w:val="restart"/>
            <w:tcW w:type="dxa" w:w="81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Наимено-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вание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объекта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(цех,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отделе-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участок)</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Профес-</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долж-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ность  </w:t>
            </w:r>
          </w:p>
        </w:tc>
        <w:tc>
          <w:tcPr>
            <w:vMerge w:val="restart"/>
            <w:tcW w:type="dxa" w:w="1053"/>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Входящий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об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установле-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нии пред-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варитель-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ного диаг-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ноза остро-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го или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хроничес-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кого проф-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заболева-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ния (отрав-</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ления)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его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получения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ЦГСЭН      </w:t>
            </w:r>
          </w:p>
        </w:tc>
        <w:tc>
          <w:tcPr>
            <w:vMerge w:val="restart"/>
            <w:tcW w:type="dxa" w:w="891"/>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Регистра-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ционный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из-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 уста-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новлении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предвари-</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тельного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ЛПУ      </w:t>
            </w:r>
          </w:p>
        </w:tc>
        <w:tc>
          <w:tcPr>
            <w:vMerge w:val="restart"/>
            <w:tcW w:type="dxa" w:w="891"/>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Входящий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из-</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 уста-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новлении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заключи-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тельного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 дата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его полу-</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чения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ЦГСЭН    </w:t>
            </w:r>
          </w:p>
        </w:tc>
        <w:tc>
          <w:tcPr>
            <w:vMerge w:val="restart"/>
            <w:tcW w:type="dxa" w:w="891"/>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Регистра-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ционный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из-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 уста-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новлении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заключи-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тельного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ЛПУ      </w:t>
            </w:r>
          </w:p>
        </w:tc>
        <w:tc>
          <w:tcPr>
            <w:vMerge w:val="restart"/>
            <w:tcW w:type="dxa" w:w="891"/>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Входящий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из-</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 изме-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уточнении</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или отме-</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не диаг-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ноза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его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получения</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ЦГСЭН    </w:t>
            </w:r>
          </w:p>
        </w:tc>
        <w:tc>
          <w:tcPr>
            <w:vMerge w:val="restart"/>
            <w:tcW w:type="dxa" w:w="972"/>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Регистра-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ционный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из-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вещения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об изме-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уточнении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или отмене</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ЛПУ       </w:t>
            </w:r>
          </w:p>
        </w:tc>
        <w:tc>
          <w:tcPr>
            <w:hMerge w:val="restart"/>
            <w:tcW w:type="dxa" w:w="1296"/>
            <w:tcBorders>
              <w:left w:sz="8" w:val="single"/>
              <w:top w:sz="8" w:val="single"/>
              <w:right w:sz="8" w:val="single"/>
              <w:bottom w:sz="8" w:val="single"/>
            </w:tcBorders>
            <w:gridSpan w:val="2"/>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Диагнозы   </w:t>
            </w:r>
          </w:p>
        </w:tc>
      </w:tr>
      <w:tr>
        <w:tc>
          <w:tcPr>
            <w:vMerge w:val="continue"/>
            <w:tcW w:type="dxa" w:w="445"/>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405"/>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567"/>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Основ-</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ной   </w:t>
            </w: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Сопут-</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ствую-</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щие   </w:t>
            </w:r>
          </w:p>
        </w:tc>
      </w:tr>
      <w:tr>
        <w:trPr>
          <w:trHeight w:val="180" w:hRule="atLeast"/>
        </w:trPr>
        <w:tc>
          <w:tcPr>
            <w:tcW w:type="dxa" w:w="445"/>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   </w:t>
            </w:r>
          </w:p>
        </w:tc>
        <w:tc>
          <w:tcPr>
            <w:tcW w:type="dxa" w:w="405"/>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3 </w:t>
            </w:r>
          </w:p>
        </w:tc>
        <w:tc>
          <w:tcPr>
            <w:tcW w:type="dxa" w:w="567"/>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4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5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6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7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8   </w:t>
            </w:r>
          </w:p>
        </w:tc>
        <w:tc>
          <w:tcPr>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9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10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11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12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13    </w:t>
            </w:r>
          </w:p>
        </w:tc>
        <w:tc>
          <w:tcPr>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14    </w:t>
            </w: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15  </w:t>
            </w: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16  </w:t>
            </w:r>
          </w:p>
        </w:tc>
      </w:tr>
    </w:tbl>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tblW w:w="0" w:type="auto"/>
        <w:tblCellMar>
          <w:bottom w:w="75" w:type="dxa"/>
          <w:left w:w="40" w:type="dxa"/>
          <w:right w:w="40" w:type="dxa"/>
          <w:top w:w="75" w:type="dxa"/>
        </w:tblCellMar>
        <w:tblBorders>
          <w:left w:sz="0" w:space="0" w:val="nil"/>
          <w:right w:sz="0" w:space="0" w:val="nil"/>
          <w:top w:sz="0" w:space="0" w:val="nil"/>
          <w:bottom w:sz="0" w:space="0" w:val="nil"/>
          <w:insideV w:sz="0" w:space="0" w:val="nil"/>
          <w:insideH w:sz="0" w:space="0" w:val="nil"/>
        </w:tblBorders>
      </w:tblPr>
      <w:tblGrid>
        <w:gridCol w:w="769"/>
        <w:gridCol w:w="729"/>
        <w:gridCol w:w="729"/>
        <w:gridCol w:w="891"/>
        <w:gridCol w:w="810"/>
        <w:gridCol w:w="729"/>
        <w:gridCol w:w="729"/>
        <w:gridCol w:w="1134"/>
        <w:gridCol w:w="891"/>
        <w:gridCol w:w="972"/>
        <w:gridCol w:w="1053"/>
        <w:gridCol w:w="972"/>
        <w:gridCol w:w="810"/>
        <w:gridCol w:w="810"/>
        <w:gridCol w:w="648"/>
        <w:gridCol w:w="1053"/>
        <w:gridCol w:w="486"/>
      </w:tblGrid>
      <w:tr>
        <w:trPr>
          <w:trHeight w:val="180" w:hRule="atLeast"/>
        </w:trPr>
        <w:tc>
          <w:tcPr>
            <w:vMerge w:val="restart"/>
            <w:tcW w:type="dxa" w:w="76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 дата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утверж-</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сан.-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гиг.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харак-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терис-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тики   </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Исходя-</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щий но-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мер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отправ-</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сан.-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гиг.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харак-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терис-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тики   </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утверж-</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акта 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случае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профза-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болева-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ния    </w:t>
            </w:r>
          </w:p>
        </w:tc>
        <w:tc>
          <w:tcPr>
            <w:vMerge w:val="restart"/>
            <w:tcW w:type="dxa" w:w="891"/>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Исходящий</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номер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дата от-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правления</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акта 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случае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профзабо-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левания  </w:t>
            </w:r>
          </w:p>
        </w:tc>
        <w:tc>
          <w:tcPr>
            <w:vMerge w:val="restart"/>
            <w:tcW w:type="dxa" w:w="810"/>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Вид 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форма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проф-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заболе-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вания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или от-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равле-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(острое,</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хрони-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ческое) </w:t>
            </w:r>
          </w:p>
        </w:tc>
        <w:tc>
          <w:tcPr>
            <w:vMerge w:val="restart"/>
            <w:tcW w:type="dxa" w:w="729"/>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Наиме-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нование</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учреж-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дения,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устано-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вившего</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оконча-</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тельный</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w:t>
            </w:r>
          </w:p>
        </w:tc>
        <w:tc>
          <w:tcPr>
            <w:hMerge w:val="restart"/>
            <w:tcW w:type="dxa" w:w="8019"/>
            <w:tcBorders>
              <w:left w:sz="8" w:val="single"/>
              <w:top w:sz="8" w:val="single"/>
              <w:right w:sz="8" w:val="single"/>
              <w:bottom w:sz="8" w:val="single"/>
            </w:tcBorders>
            <w:gridSpan w:val="9"/>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Исходы заболевания                                       </w:t>
            </w:r>
          </w:p>
        </w:tc>
        <w:tc>
          <w:tcPr>
            <w:vMerge w:val="restart"/>
            <w:tcW w:type="dxa" w:w="1053"/>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Трудоуст-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ройство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(переведен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на другую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работу,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оставлен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на прежней,</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не требу-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ется,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другое)    </w:t>
            </w:r>
          </w:p>
        </w:tc>
        <w:tc>
          <w:tcPr>
            <w:vMerge w:val="restart"/>
            <w:tcW w:type="dxa" w:w="486"/>
            <w:tcBorders>
              <w:left w:sz="8" w:val="single"/>
              <w:top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При-</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ме-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ча-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ние </w:t>
            </w:r>
          </w:p>
        </w:tc>
      </w:tr>
      <w:tr>
        <w:tc>
          <w:tcPr>
            <w:vMerge w:val="continue"/>
            <w:tcW w:type="dxa" w:w="76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hMerge w:val="restart"/>
            <w:tcW w:type="dxa" w:w="3726"/>
            <w:tcBorders>
              <w:left w:sz="8" w:val="single"/>
              <w:right w:sz="8" w:val="single"/>
              <w:bottom w:sz="8" w:val="single"/>
            </w:tcBorders>
            <w:gridSpan w:val="4"/>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Ближайшие исходы             </w:t>
            </w:r>
          </w:p>
        </w:tc>
        <w:tc>
          <w:tcPr>
            <w:hMerge w:val="restart"/>
            <w:tcW w:type="dxa" w:w="4293"/>
            <w:tcBorders>
              <w:left w:sz="8" w:val="single"/>
              <w:right w:sz="8" w:val="single"/>
              <w:bottom w:sz="8" w:val="single"/>
            </w:tcBorders>
            <w:gridSpan w:val="5"/>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Отдаленные исходы                </w:t>
            </w:r>
          </w:p>
        </w:tc>
        <w:tc>
          <w:tcPr>
            <w:vMerge w:val="continue"/>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486"/>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r>
      <w:tr>
        <w:tc>
          <w:tcPr>
            <w:vMerge w:val="continue"/>
            <w:tcW w:type="dxa" w:w="76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без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утраты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трудо-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способ-</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ности  </w:t>
            </w:r>
          </w:p>
        </w:tc>
        <w:tc>
          <w:tcPr>
            <w:tcW w:type="dxa" w:w="1134"/>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 временной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утратой тру-</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доспособнос-</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ти (амбула-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торное лече-</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ние, госпи-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тализация)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Временный</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перевод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на другую</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работу   </w:t>
            </w:r>
          </w:p>
        </w:tc>
        <w:tc>
          <w:tcPr>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Смерть в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течение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первых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2-х суток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после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происшест-</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вия       </w:t>
            </w:r>
          </w:p>
        </w:tc>
        <w:tc>
          <w:tcPr>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Трудоспо-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собен в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своей про-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фессии,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должности  </w:t>
            </w:r>
          </w:p>
        </w:tc>
        <w:tc>
          <w:tcPr>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Стойкая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утрата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трудоспо-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собности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 своей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профессии,</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должности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Инвалид-</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ность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(группа)</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Диагноз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заболе-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вания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отдален-</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ного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послед- </w:t>
            </w:r>
          </w:p>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ствия   </w:t>
            </w: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Смерть</w:t>
            </w:r>
          </w:p>
        </w:tc>
        <w:tc>
          <w:tcPr>
            <w:vMerge w:val="continue"/>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c>
          <w:tcPr>
            <w:vMerge w:val="continue"/>
            <w:tcW w:type="dxa" w:w="486"/>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p>
        </w:tc>
      </w:tr>
      <w:tr>
        <w:trPr>
          <w:trHeight w:val="180" w:hRule="atLeast"/>
        </w:trPr>
        <w:tc>
          <w:tcPr>
            <w:tcW w:type="dxa" w:w="76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17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18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19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20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21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22   </w:t>
            </w:r>
          </w:p>
        </w:tc>
        <w:tc>
          <w:tcPr>
            <w:tcW w:type="dxa" w:w="729"/>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23   </w:t>
            </w:r>
          </w:p>
        </w:tc>
        <w:tc>
          <w:tcPr>
            <w:tcW w:type="dxa" w:w="1134"/>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24     </w:t>
            </w:r>
          </w:p>
        </w:tc>
        <w:tc>
          <w:tcPr>
            <w:tcW w:type="dxa" w:w="891"/>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25    </w:t>
            </w:r>
          </w:p>
        </w:tc>
        <w:tc>
          <w:tcPr>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26    </w:t>
            </w:r>
          </w:p>
        </w:tc>
        <w:tc>
          <w:tcPr>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27     </w:t>
            </w:r>
          </w:p>
        </w:tc>
        <w:tc>
          <w:tcPr>
            <w:tcW w:type="dxa" w:w="972"/>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28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29    </w:t>
            </w:r>
          </w:p>
        </w:tc>
        <w:tc>
          <w:tcPr>
            <w:tcW w:type="dxa" w:w="810"/>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30   </w:t>
            </w:r>
          </w:p>
        </w:tc>
        <w:tc>
          <w:tcPr>
            <w:tcW w:type="dxa" w:w="648"/>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31  </w:t>
            </w:r>
          </w:p>
        </w:tc>
        <w:tc>
          <w:tcPr>
            <w:tcW w:type="dxa" w:w="1053"/>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32     </w:t>
            </w:r>
          </w:p>
        </w:tc>
        <w:tc>
          <w:tcPr>
            <w:tcW w:type="dxa" w:w="486"/>
            <w:tcBorders>
              <w:left w:sz="8" w:val="single"/>
              <w:right w:sz="8" w:val="single"/>
              <w:bottom w:sz="8" w:val="single"/>
            </w:tcBorders>
            <w:gridSpan w:val="1"/>
          </w:tcPr>
          <w:p>
            <w:pPr>
              <w:jc w:val="both"/>
              <w:ind w:firstLine="0" w:left="0"/>
              <w:spacing w:after="0" w:line="240"/>
              <w:rPr>
                <w:b w:val="false"/>
                <w:rFonts w:ascii="Courier New" w:eastAsia="Courier New" w:hAnsi="Courier New" w:cs="Courier New"/>
                <w:sz w:val="14"/>
                <w:i w:val="false"/>
                <w:strike w:val="false"/>
              </w:rPr>
            </w:pPr>
            <w:r>
              <w:rPr>
                <w:b w:val="false"/>
                <w:rFonts w:ascii="Courier New" w:eastAsia="Courier New" w:hAnsi="Courier New" w:cs="Courier New"/>
                <w:sz w:val="14"/>
                <w:i w:val="false"/>
                <w:strike w:val="false"/>
              </w:rPr>
              <w:t xml:space="preserve"> 33 </w:t>
            </w:r>
          </w:p>
        </w:tc>
      </w:tr>
    </w:tbl>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5"/>
          <w:footerReference w:type="default" r:id="rId27"/>
        </w:sect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10" w:name="Par601"/>
      <w:bookmarkEnd w:id="10"/>
      <w:r>
        <w:rPr>
          <w:b w:val="false"/>
          <w:rFonts w:ascii="Times New Roman" w:eastAsia="Times New Roman" w:hAnsi="Times New Roman" w:cs="Times New Roman"/>
          <w:sz w:val="24"/>
          <w:i w:val="false"/>
          <w:strike w:val="false"/>
        </w:rPr>
        <w:t xml:space="preserve">Приложение N 5</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Код формы по </w:t>
      </w:r>
      <w:hyperlink r:id="rId14">
        <w:r>
          <w:rPr>
            <w:b w:val="false"/>
            <w:rFonts w:ascii="Courier New" w:eastAsia="Courier New" w:hAnsi="Courier New" w:cs="Courier New"/>
            <w:sz w:val="20"/>
            <w:i w:val="false"/>
            <w:strike w:val="false"/>
            <w:color w:val="0000ff"/>
          </w:rPr>
          <w:t xml:space="preserve">ОКУД</w:t>
        </w:r>
      </w:hyperlink>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Министерство здравоохранения          Код учреждения по ОКПО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Российской Федерации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Наименование учреждения               Медицинская документация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Форма N .../у</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КАРТА УЧЕТА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ПРОФЕССИОНАЛЬНОГО ЗАБОЛЕВАНИЯ (ОТРАВЛЕНИЯ)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Дата заполнения └─┴─┴─┴─┴─┴─┘      Регистрационный номер └─┴─┴─┴─┴─┴─┴─┘</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Содержание сведений                  │N стр.│     код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│Субъект Российской Федерации                         │  1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│Районы субъекта Федерации                            │  2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│Отрасль предприятий промышленности и                 │  3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│народного хозяйства Российской Федерации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│Предприятие, учреждение                              │  4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│Форма собственности                                  │  5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│Цех, отделение, участок                              │  6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получения извещения о заключ.                   │  7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│диагнозе профзаболевания (отравления)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│Число одновременно пострадавших,                     │  8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│включая данное лицо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│Ф.И.О. пострадавшего                                 │  9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│Пол: мужской - 1, женский - 2                        │ 10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│Возраст (число лет)                                  │ 11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│Профессия, должность                                 │ 12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│Стаж работы в данной профессии, должности            │ 13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│Стаж работы в контакте с вредным производственным    │ 14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│фактором, вызвавшим профзаболевание (отравление)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│Вредные производственные факторы, послужившие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│причиной профзаболевания (отравления)                │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Основной ______________________________________│ 15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Сопутствующий _________________________________│ 16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│Параметр основного фактора                           │ 17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│Параметры сопутствующих факторов                     │ 18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│Обстоятельства возникновения  1. ____________________│ 19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│профзаболевания (отравления)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____________________│ 20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│Вид профзаболевания: заболевание - 1, отравление - 2 │ 21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│Форма профзаболевания: острое - 1, хроническое - 2   │ 22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│Диагнозы: 1. Основной                                │ 23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Сопутствующий                                     │ 24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Сопутствующий                                     │ 25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Сопутствующий                                     │ 26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│Профзаболевание (отравление) выявлено: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 медосмотре - 1, при обращении - 2                │ 27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│Диагноз установлен:                                  │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│ЛПУ - 1, профцентром - 2, НИИ - 3                    │ 28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│Тяжесть профзаболевания: без утраты трудоспособности │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с утратой трудоспособности - 2, смерть - 3      │ 29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│Меры, принятые ЦГСЭН                                 │ 30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│Ф.И.О. санитарного врача (полностью, подпись)        │ 31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bookmarkStart w:id="11" w:name="Par701"/>
      <w:bookmarkEnd w:id="11"/>
      <w:r>
        <w:rPr>
          <w:b w:val="false"/>
          <w:rFonts w:ascii="Times New Roman" w:eastAsia="Times New Roman" w:hAnsi="Times New Roman" w:cs="Times New Roman"/>
          <w:sz w:val="24"/>
          <w:i w:val="false"/>
          <w:strike w:val="false"/>
        </w:rPr>
        <w:t xml:space="preserve">Приложение N 6</w:t>
      </w:r>
    </w:p>
    <w:p>
      <w:pPr>
        <w:jc w:val="righ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здравоохранения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28.05.2001 N 176</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ИНСТРУКЦИЯ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ПОРЯДКЕ ПРИМЕНЕНИЯ ПОЛОЖЕНИЯ О РАССЛЕДОВАНИИ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УЧЕТЕ ПРОФЕССИОНАЛЬНЫХ ЗАБОЛЕВАНИЙ, УТВЕРЖДЕННОГО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ПОСТАНОВЛЕНИЕМ ПРАВИТЕЛЬСТВА РОССИЙСКОЙ ФЕДЕРАЦИИ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15.12.2000 N 967</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Настоящая Инструкция разъясняет применение </w:t>
      </w:r>
      <w:hyperlink r:id="rId12">
        <w:r>
          <w:rPr>
            <w:b w:val="false"/>
            <w:rFonts w:ascii="Times New Roman" w:eastAsia="Times New Roman" w:hAnsi="Times New Roman" w:cs="Times New Roman"/>
            <w:sz w:val="24"/>
            <w:i w:val="false"/>
            <w:strike w:val="false"/>
            <w:color w:val="0000ff"/>
          </w:rPr>
          <w:t xml:space="preserve">Положения</w:t>
        </w:r>
      </w:hyperlink>
      <w:r>
        <w:rPr>
          <w:b w:val="false"/>
          <w:rFonts w:ascii="Times New Roman" w:eastAsia="Times New Roman" w:hAnsi="Times New Roman" w:cs="Times New Roman"/>
          <w:sz w:val="24"/>
          <w:i w:val="false"/>
          <w:strike w:val="false"/>
        </w:rPr>
        <w:t xml:space="preserve"> о расследовании и учете профессиональных заболеваний, утвержденного Постановлением Правительства Российской Федерации от 15.12.2000 N 967, обязательна для всех лечебно-профилактических учреждений независимо от ведомственной подчиненности, организационно-правовой формы и формы собственности, включая клиники профессиональных заболеваний научно-исследовательских и образовательных медицинских учреждений, центров государственного санитарно-эпидемиологического надзора в субъектах Российской Федерации (далее - центры госсанэпиднадзора), институтов усовершенствования врачей системы Министерства здравоохранения Российской Федерации, а также соответствующих учреждений Министерства транспорта Российской Федерации, Министерства путей сообщения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Главного управления специальных программ Президента Российской Федерации, Медицинского центра Управления делами Президента Российской Федерации, Федеральной пограничной службы Российской Федерации, Федеральной службы налоговой полиции Российской Федерации, Федеральной службы безопасности Российской Федерации, Федерального агентства правительственной связи и информации при Президенте Российской Федерации, Федеральной службы охраны Российской Федерации и Федерального управления медико-биологических и экстремальных проблем при Министерстве здравоохранения Российской Федерации, работодателей и работников.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Общие положения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Система учета профессиональных заболеваний (отравлений) предназначена для: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срочного оповещения центров госсанэпиднадзора, осуществляющих учет профессиональных заболеваний в соответствии с санитарным </w:t>
      </w:r>
      <w:hyperlink r:id="rId28">
        <w:r>
          <w:rPr>
            <w:b w:val="false"/>
            <w:rFonts w:ascii="Times New Roman" w:eastAsia="Times New Roman" w:hAnsi="Times New Roman" w:cs="Times New Roman"/>
            <w:sz w:val="24"/>
            <w:i w:val="false"/>
            <w:strike w:val="false"/>
            <w:color w:val="0000ff"/>
          </w:rPr>
          <w:t xml:space="preserve">законодательством</w:t>
        </w:r>
      </w:hyperlink>
      <w:r>
        <w:rPr>
          <w:b w:val="false"/>
          <w:rFonts w:ascii="Times New Roman" w:eastAsia="Times New Roman" w:hAnsi="Times New Roman" w:cs="Times New Roman"/>
          <w:sz w:val="24"/>
          <w:i w:val="false"/>
          <w:strike w:val="false"/>
        </w:rPr>
        <w:t xml:space="preserve">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проведения расследования обстоятельств и причин возникновения профессиональных заболеваний (отравлений);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организации мероприятий по ликвидации и предупреждению воздействия вредных производственных факторов на здоровье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анализа состояния профессиональной заболеваемости в Российской Федерации и внедрения в практику более совершенных программ профилактики профзаболеваний.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Учет и регистрация профессиональных заболеваний (отравлений) ведется в центре госсанэпиднадзора на основании заключительных диагнозов, устанавливаемых в специализированных лечебно-профилактических учреждениях здравоохранения или их подразделениях.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Датой установления острого или хронического профессионального заболевания (отравления) следует считать дату установления заключительного диагноза учреждением здравоохранения.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Информация о видах фактически выполняемых работ в особых условиях, не указанных в трудовой книжке, внесенная в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случае профессионального заболевания со слов работника, принимается к сведению.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Центры госсанэпиднадзора ежегодно запрашивают медико-социальные экспертные комиссии (МСЭК) о степени утраты трудоспособности пострадавших для учета в журнале учета профессиональных заболеваний (отравлений) и ее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Оформление санитарно-гигиенической характеристики условий труда работника при подозрении у него профессионального заболевания (отравления) осуществляется в соответствии с </w:t>
      </w:r>
      <w:hyperlink r:id="rId7">
        <w:r>
          <w:rPr>
            <w:b w:val="false"/>
            <w:rFonts w:ascii="Times New Roman" w:eastAsia="Times New Roman" w:hAnsi="Times New Roman" w:cs="Times New Roman"/>
            <w:sz w:val="24"/>
            <w:i w:val="false"/>
            <w:strike w:val="false"/>
            <w:color w:val="0000ff"/>
          </w:rPr>
          <w:t xml:space="preserve">Инструкцией</w:t>
        </w:r>
      </w:hyperlink>
      <w:r>
        <w:rPr>
          <w:b w:val="false"/>
          <w:rFonts w:ascii="Times New Roman" w:eastAsia="Times New Roman" w:hAnsi="Times New Roman" w:cs="Times New Roman"/>
          <w:sz w:val="24"/>
          <w:i w:val="false"/>
          <w:strike w:val="false"/>
        </w:rPr>
        <w:t xml:space="preserve"> по составлению санитарно-гигиенической характеристики условий труда при подозрении у него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При несогласии работодателя (его представителя, работника) с санитарно-гигиенической характеристикой условий труда работника (далее санитарно-гигиеническая характеристика) он вправе, письменно изложив свои возражения, приложить их к санитарно-гигиенической характеристике, а также направить апелляцию в вышестоящее по подчиненности учреждение госсанэпиднадзора в срок не позднее 1 месяца со дня ее получения.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Для составления санитарно-гигиенической характеристики условий труда работника работодатель обязан представить представителям центра госсанэпиднадзора результаты производственного контроля, аттестации рабочих мест, а также данные лабораторных и инструментальных исследований вредных факторов производственной среды и трудового процесса, хронометражные данные и др., выполненные за счет собственных средств.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 Порядок заполнения извещения и передачи информации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острых профзаболеваниях (отравлениях)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На каждый случай острого профессионального заболевания (отравления) врачом, выявившим профессиональное заболевание, или при наличии подозрения на профессиональное заболевание заполняется извещение об установлении предварительного диагноза (по форме согласно </w:t>
      </w:r>
      <w:hyperlink r:id="rId6">
        <w:r>
          <w:rPr>
            <w:b w:val="false"/>
            <w:rFonts w:ascii="Times New Roman" w:eastAsia="Times New Roman" w:hAnsi="Times New Roman" w:cs="Times New Roman"/>
            <w:sz w:val="24"/>
            <w:i w:val="false"/>
            <w:strike w:val="false"/>
            <w:color w:val="0000ff"/>
          </w:rPr>
          <w:t xml:space="preserve">приложению N 1</w:t>
        </w:r>
      </w:hyperlink>
      <w:r>
        <w:rPr>
          <w:b w:val="false"/>
          <w:rFonts w:ascii="Times New Roman" w:eastAsia="Times New Roman" w:hAnsi="Times New Roman" w:cs="Times New Roman"/>
          <w:sz w:val="24"/>
          <w:i w:val="false"/>
          <w:strike w:val="false"/>
        </w:rPr>
        <w:t xml:space="preserve"> к Приказу Минздрава России от 28.05.2001 N 176).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Извещения по установленной форме заполняются во врачебных здравпунктах, амбулаториях, поликлиниках, диспансерах, медсанчастях, стационарах всех типов, центрах профпатологии, клиниках или отделах профессиональных заболеваний медицинских научных организаций клинического профиля, учреждениях судебно-медицинской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Извещение направляется в течение суток с даты установления предварительного диагноза острого профессионального заболевания или отравления (в т.ч. группового с числом пострадавших 2 и более человек) или острого профессионального заболевания (отравления) со смертельным исходом; заболевания особо опасными инфекциями при подозрении на профессиональный характер (сибирская язва, чума, холера, дифтерия, туберкулез, гепатит, бруцеллез, бешенство, ВИЧ-инфекция, др.) - в центр госсанэпиднадзора, осуществляющий надзор за объектом, на котором возникло острое профессиональное заболевание (отравление), и работодателю по форме (по форме согласно </w:t>
      </w:r>
      <w:hyperlink r:id="rId6">
        <w:r>
          <w:rPr>
            <w:b w:val="false"/>
            <w:rFonts w:ascii="Times New Roman" w:eastAsia="Times New Roman" w:hAnsi="Times New Roman" w:cs="Times New Roman"/>
            <w:sz w:val="24"/>
            <w:i w:val="false"/>
            <w:strike w:val="false"/>
            <w:color w:val="0000ff"/>
          </w:rPr>
          <w:t xml:space="preserve">приложению N 1</w:t>
        </w:r>
      </w:hyperlink>
      <w:r>
        <w:rPr>
          <w:b w:val="false"/>
          <w:rFonts w:ascii="Times New Roman" w:eastAsia="Times New Roman" w:hAnsi="Times New Roman" w:cs="Times New Roman"/>
          <w:sz w:val="24"/>
          <w:i w:val="false"/>
          <w:strike w:val="false"/>
        </w:rPr>
        <w:t xml:space="preserve"> к Приказу Минздрава России от 28.05.2001 N 176).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острых профессиональных заболеваний (отравлений), при которых одновременно заболело (пострадало) 2 и более человек, извещение составляется на каждого больного.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направления извещения, руководитель учреждения здравоохранения, в котором выявлено или имеется подозрение на острое профзаболевание (отравление), обязан в течение суток известить об этом (по телефону, электронной почтой и др.) центр госсанэпиднадзора 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В извещении указываются предварительный диагноз острого профессионального заболевания (отравления), факторы и причины, вызвавшие заболевание (отравление).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Учреждение здравоохранения, установившее заключительный диагноз острого профессионального заболевания (отравления), в 3-дневный срок направляет в центр госсанэпиднадзора, работодателю, страховщику и в учреждение здравоохранения, направившее больного, извещение (по форме согласно </w:t>
      </w:r>
      <w:hyperlink r:id="rId8">
        <w:r>
          <w:rPr>
            <w:b w:val="false"/>
            <w:rFonts w:ascii="Times New Roman" w:eastAsia="Times New Roman" w:hAnsi="Times New Roman" w:cs="Times New Roman"/>
            <w:sz w:val="24"/>
            <w:i w:val="false"/>
            <w:strike w:val="false"/>
            <w:color w:val="0000ff"/>
          </w:rPr>
          <w:t xml:space="preserve">приложению N 2</w:t>
        </w:r>
      </w:hyperlink>
      <w:r>
        <w:rPr>
          <w:b w:val="false"/>
          <w:rFonts w:ascii="Times New Roman" w:eastAsia="Times New Roman" w:hAnsi="Times New Roman" w:cs="Times New Roman"/>
          <w:sz w:val="24"/>
          <w:i w:val="false"/>
          <w:strike w:val="false"/>
        </w:rPr>
        <w:t xml:space="preserve"> к Приказу Минздрава России от 28.05.2001 N 176), в котором указывается заключительный диагноз острого профессионального заболевания (отравления), наименование установленных или предполагаемых вредных производственных факторов и причин, вызвавших заболевание.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При получении извещения об установлении диагноза острого профессионального заболевания (отравления) центр госсанэпиднадзора информирует территориального государственного инспектора труда.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 Порядок извещения и передачи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информации о хронических профессиональных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заболеваниях (отравлениях)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Извещение об установлении предварительного диагноза хронического профессионального заболевания (отравления) заполняется (по форме согласно </w:t>
      </w:r>
      <w:hyperlink r:id="rId6">
        <w:r>
          <w:rPr>
            <w:b w:val="false"/>
            <w:rFonts w:ascii="Times New Roman" w:eastAsia="Times New Roman" w:hAnsi="Times New Roman" w:cs="Times New Roman"/>
            <w:sz w:val="24"/>
            <w:i w:val="false"/>
            <w:strike w:val="false"/>
            <w:color w:val="0000ff"/>
          </w:rPr>
          <w:t xml:space="preserve">приложению N 1</w:t>
        </w:r>
      </w:hyperlink>
      <w:r>
        <w:rPr>
          <w:b w:val="false"/>
          <w:rFonts w:ascii="Times New Roman" w:eastAsia="Times New Roman" w:hAnsi="Times New Roman" w:cs="Times New Roman"/>
          <w:sz w:val="24"/>
          <w:i w:val="false"/>
          <w:strike w:val="false"/>
        </w:rPr>
        <w:t xml:space="preserve"> к Приказу Минздрава России от 28.05.2001 N 176).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Центр госсанэпиднадзора при получении извещения в 2-недельный срок представляет в учреждение здравоохранения, установившее предварительный диагноз, санитарно-гигиеническую характеристику, предварительно получив следующие документы: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копию трудовой книжки больного;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результаты предварительного и периодических медицинских осмотров (при наличии, по возможности, за весь период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сведения о наличии у работника ранее установленного диагноза профзаболевания.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После установления заключительного диагноза хронического профессионального заболевания (отравления) специализированное лечебно-профилактическое учреждение (центр профпатологии, клиника или отдел профессиональных заболеваний медицинских научных организаций клинического профиля) составляет медицинское заключение и в 3-дневный срок направляет извещение об установлении заключительного диагноза хронического профессионального заболевания (отравления), его изменении, уточнении или отмене (по форме согласно </w:t>
      </w:r>
      <w:hyperlink r:id="rId9">
        <w:r>
          <w:rPr>
            <w:b w:val="false"/>
            <w:rFonts w:ascii="Times New Roman" w:eastAsia="Times New Roman" w:hAnsi="Times New Roman" w:cs="Times New Roman"/>
            <w:sz w:val="24"/>
            <w:i w:val="false"/>
            <w:strike w:val="false"/>
            <w:color w:val="0000ff"/>
          </w:rPr>
          <w:t xml:space="preserve">приложению N 3</w:t>
        </w:r>
      </w:hyperlink>
      <w:r>
        <w:rPr>
          <w:b w:val="false"/>
          <w:rFonts w:ascii="Times New Roman" w:eastAsia="Times New Roman" w:hAnsi="Times New Roman" w:cs="Times New Roman"/>
          <w:sz w:val="24"/>
          <w:i w:val="false"/>
          <w:strike w:val="false"/>
        </w:rPr>
        <w:t xml:space="preserve"> к Приказу Минздрава России от 28.05.2001 N 176) в центр госсанэпиднадзора, работодателю, страховщику и в учреждение здравоохранения, направившее больного.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Учреждения судебно-медицинской экспертизы обязаны немедленно известить (по телефону, электронной почтой и др.) центр госсанэпиднадзора о случаях смерти, причиной которых послужили острые профессиональные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В соответствии с порядком о внеочередных донесениях центр госсанэпиднадзора при получении экстренного извещения обязан направить соответствующее предварительное донесение в вышестоящее учреждение. Окончательное донесение представляется не позднее чем через 15 дней после окончания расследования.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IV. Порядок расследования случаев профессиональных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заболеваний (отравлений)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На каждый случай острого или хронического профессионального заболевания (отравления), не сопровождающегося временной утратой трудоспособности, учреждениями здравоохранения составляются извещения.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Расследование каждого случая острого или хронического профессионального заболевания (отравления) &lt;*&gt; проводится комиссией на основании приказа, издаваемого работодателем с момента получения извещения об установлении заключительного диагноза: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w:t>
      </w:r>
      <w:hyperlink r:id="rId30">
        <w:r>
          <w:rPr>
            <w:b w:val="false"/>
            <w:rFonts w:ascii="Times New Roman" w:eastAsia="Times New Roman" w:hAnsi="Times New Roman" w:cs="Times New Roman"/>
            <w:sz w:val="24"/>
            <w:i w:val="false"/>
            <w:strike w:val="false"/>
            <w:color w:val="0000ff"/>
          </w:rPr>
          <w:t xml:space="preserve">Список</w:t>
        </w:r>
      </w:hyperlink>
      <w:r>
        <w:rPr>
          <w:b w:val="false"/>
          <w:rFonts w:ascii="Times New Roman" w:eastAsia="Times New Roman" w:hAnsi="Times New Roman" w:cs="Times New Roman"/>
          <w:sz w:val="24"/>
          <w:i w:val="false"/>
          <w:strike w:val="false"/>
        </w:rPr>
        <w:t xml:space="preserve"> профессиональных заболеваний определен Приказом Минздрава России от 14.03.96 N 90 "О порядке проведения предварительных и периодических медицинских осмотров работников и медицинских регламентах допуска к профессии" (не нуждается в государственной регистрации, письмо Минюста России от 30.12.1996 N 07-02-1376-96).</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незамедлительно, в соответствии с п. 2.1.2 (группового, со смертельным исходом, особо опасными инфекциями);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течение 24 часов - предварительного диагноза острого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течение 10 суток - хронического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ходе расследования комиссией выявляются обстоятельства и причины возникновения случая, по результатам расследования специалистом (специалистами) центра госсанэпиднадзора составляется санитарно-гигиеническая характеристика условий труда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Острые отравления, профессиональный характер которых установлен при расследовании несчастных случаев на производстве с участием представителей центра госсанэпиднадзора, подлежат расследованию в соответствии с </w:t>
      </w:r>
      <w:hyperlink r:id="rId12">
        <w:r>
          <w:rPr>
            <w:b w:val="false"/>
            <w:rFonts w:ascii="Times New Roman" w:eastAsia="Times New Roman" w:hAnsi="Times New Roman" w:cs="Times New Roman"/>
            <w:sz w:val="24"/>
            <w:i w:val="false"/>
            <w:strike w:val="false"/>
            <w:color w:val="0000ff"/>
          </w:rPr>
          <w:t xml:space="preserve">Положением</w:t>
        </w:r>
      </w:hyperlink>
      <w:r>
        <w:rPr>
          <w:b w:val="false"/>
          <w:rFonts w:ascii="Times New Roman" w:eastAsia="Times New Roman" w:hAnsi="Times New Roman" w:cs="Times New Roman"/>
          <w:sz w:val="24"/>
          <w:i w:val="false"/>
          <w:strike w:val="false"/>
        </w:rPr>
        <w:t xml:space="preserve"> о расследовании и учете профессиональных заболеваний, утвержденным Постановлением Правительства Российской Федерации от 15.12.2000 N 967.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В процессе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уточняются обстоятельства и определяются условия, способствующие возникновению острого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 необходимости определяется перечень проведения лабораторных и инструментальных исследований вредных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оценивается состояние санитарно-гигиенических условий труда работника при возникновении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 основе результатов обследования разрабатываются организационные, технические и санитарно-профилактические мероприятия по ликвидации и предотвращению случаев заболеваний (отравлений).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По результатам расследования случая профессионального заболевания (отравления) составляется в пяти экземплярах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случае профессионального заболевания (отравления) по установленной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По результатам расследования случая профессионального заболевания (отравления) комиссией в 3-дневный срок по истечении срока расследования составляется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несогласия работодателя (его представителя, пострадавшего работника) с содержанием акта о случае профессионального заболевания (отравления) и отказа от подписи он (они) вправе, письменно изложив свои возражения, приложить их к акту, а также направить апелляцию в вышестоящее по подчиненности учреждение госсанэпидслужбы.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При необходимости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случае профессионального заболевания (отравления) может быть восстановлен или составлен вновь по результатам ретроспективного расследования профессионального заболевания (отравления), независимо от давности имевшего место и диагностированного в установленном порядке профессионального заболевания (отравления), или центром госсанэпиднадзора может быть выдан дубликат этого акта (заверенный печатью организации и подписью руководителя).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В случае ликвидации организации (предприятия)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случае профессионального заболевания (отравления) составляет комиссия, созданная по распоряжению главного врача центра госсанэпиднадзора. В состав комиссии по расследованию включается специалист (специалисты) центра госсанэпиднадзора, представитель учреждения здравоохранения, профсоюзного или иного уполномоченного работниками представительного органа, страховщика. При необходимости могут привлекаться другие специалисты.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В случае подтверждения связи инфекционного заболевания или паразитарного заболевания с условиями труда расследование данного случая проводится врачом-эпидемиологом или врачом-паразитологом территориального центра госсанэпиднадзора с заполнением утвержденной Карты эпидемиологического обследования и вкладного листа, а также составлением </w:t>
      </w:r>
      <w:hyperlink r:id="rId29">
        <w:r>
          <w:rPr>
            <w:b w:val="false"/>
            <w:rFonts w:ascii="Times New Roman" w:eastAsia="Times New Roman" w:hAnsi="Times New Roman" w:cs="Times New Roman"/>
            <w:sz w:val="24"/>
            <w:i w:val="false"/>
            <w:strike w:val="false"/>
            <w:color w:val="0000ff"/>
          </w:rPr>
          <w:t xml:space="preserve">акта</w:t>
        </w:r>
      </w:hyperlink>
      <w:r>
        <w:rPr>
          <w:b w:val="false"/>
          <w:rFonts w:ascii="Times New Roman" w:eastAsia="Times New Roman" w:hAnsi="Times New Roman" w:cs="Times New Roman"/>
          <w:sz w:val="24"/>
          <w:i w:val="false"/>
          <w:strike w:val="false"/>
        </w:rPr>
        <w:t xml:space="preserve"> о случае профессионального заболевания. Основным документом, устанавливающим возможность заражения инфекционным или паразитарным заболеванием при выполнении профессиональных обязанностей, служит Карта эпидемиологического обследования.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Карта эпидемиологического обследования является приложением к </w:t>
      </w:r>
      <w:hyperlink r:id="rId29">
        <w:r>
          <w:rPr>
            <w:b w:val="false"/>
            <w:rFonts w:ascii="Times New Roman" w:eastAsia="Times New Roman" w:hAnsi="Times New Roman" w:cs="Times New Roman"/>
            <w:sz w:val="24"/>
            <w:i w:val="false"/>
            <w:strike w:val="false"/>
            <w:color w:val="0000ff"/>
          </w:rPr>
          <w:t xml:space="preserve">акту</w:t>
        </w:r>
      </w:hyperlink>
      <w:r>
        <w:rPr>
          <w:b w:val="false"/>
          <w:rFonts w:ascii="Times New Roman" w:eastAsia="Times New Roman" w:hAnsi="Times New Roman" w:cs="Times New Roman"/>
          <w:sz w:val="24"/>
          <w:i w:val="false"/>
          <w:strike w:val="false"/>
        </w:rPr>
        <w:t xml:space="preserve"> о случае профессионального заболевания и хранится вместе с ним.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Карта эпидемиологического обследования составляется в пяти экземплярах для: лечебно-профилактического учреждения, установившего диагноз инфекционного или паразитарного заболевания, центра госсанэпиднадзора, центра профпатологии, работодателя и работника.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 Порядок расследования и учета профессиональных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заболеваний у лиц, изменивших место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Если юридический и фактический адреса предприятия, организации, учреждения (работодателя) и иного места выполнения работы (учебы), на котором работает или работал пострадавший, различны, находятся в разных субъектах Российской Федерации, расследование случая профессионального заболевания (отравления), составление </w:t>
      </w:r>
      <w:hyperlink r:id="rId29">
        <w:r>
          <w:rPr>
            <w:b w:val="false"/>
            <w:rFonts w:ascii="Times New Roman" w:eastAsia="Times New Roman" w:hAnsi="Times New Roman" w:cs="Times New Roman"/>
            <w:sz w:val="24"/>
            <w:i w:val="false"/>
            <w:strike w:val="false"/>
            <w:color w:val="0000ff"/>
          </w:rPr>
          <w:t xml:space="preserve">акта</w:t>
        </w:r>
      </w:hyperlink>
      <w:r>
        <w:rPr>
          <w:b w:val="false"/>
          <w:rFonts w:ascii="Times New Roman" w:eastAsia="Times New Roman" w:hAnsi="Times New Roman" w:cs="Times New Roman"/>
          <w:sz w:val="24"/>
          <w:i w:val="false"/>
          <w:strike w:val="false"/>
        </w:rPr>
        <w:t xml:space="preserve"> о случае профессионального заболевания, регистрация и учет случая проводятся центром госсанэпиднадзора, который осуществляет государственный санитарный надзор по фактическому расположению объекта, где произошло профессиональное заболевание (отравление).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санитарно-гигиенической характеристике и акте в этом случае указываются два адреса: первый - фактическое место работы пострадавшего, второй - юридический адрес работодателя. Диспансерное наблюдение за больным в этом случае ведет учреждение здравоохранения по месту его жительства.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Если возникновение профессионального заболевания (отравления) было обусловлено воздействием вредных производственных факторов при работе на объектах, подконтрольных разным центрам госсанэпиднадзора, в т.ч. в разных субъектах Российской Федерации, то центр госсанэпиднадзора по последнему месту работы, получив извещение о предварительном диагнозе профессионального заболевания (отравления), составляет санитарно-гигиеническую характеристику условий труда (при необходимости - на основании материалов, полученных из соответствующих центров госсанэпиднадзора по официальным запросам).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Извещение об установлении заключительного диагноза профессионального заболевания (отравления) направляется в центр госсанэпиднадзора по последнему месту работы пострадавшего в контакте с вредным производственным фактором, вызвавшим профессиональное заболевание (отравление), где и проводится расследование с составлением </w:t>
      </w:r>
      <w:hyperlink r:id="rId29">
        <w:r>
          <w:rPr>
            <w:b w:val="false"/>
            <w:rFonts w:ascii="Times New Roman" w:eastAsia="Times New Roman" w:hAnsi="Times New Roman" w:cs="Times New Roman"/>
            <w:sz w:val="24"/>
            <w:i w:val="false"/>
            <w:strike w:val="false"/>
            <w:color w:val="0000ff"/>
          </w:rPr>
          <w:t xml:space="preserve">акта</w:t>
        </w:r>
      </w:hyperlink>
      <w:r>
        <w:rPr>
          <w:b w:val="false"/>
          <w:rFonts w:ascii="Times New Roman" w:eastAsia="Times New Roman" w:hAnsi="Times New Roman" w:cs="Times New Roman"/>
          <w:sz w:val="24"/>
          <w:i w:val="false"/>
          <w:strike w:val="false"/>
        </w:rPr>
        <w:t xml:space="preserve"> о случае профессионального заболевания и его регистрация.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VI. Порядок регистрации случаев профессиональных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заболеваний в центрах госсанэпиднадзора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Для регистрации данных о пострадавших от профессиональных заболеваний (отравлений) в центрах госсанэпиднадзора ведется Журнал учета профессиональных заболеваний (отравлений) (по форме согласно </w:t>
      </w:r>
      <w:hyperlink r:id="rId10">
        <w:r>
          <w:rPr>
            <w:b w:val="false"/>
            <w:rFonts w:ascii="Times New Roman" w:eastAsia="Times New Roman" w:hAnsi="Times New Roman" w:cs="Times New Roman"/>
            <w:sz w:val="24"/>
            <w:i w:val="false"/>
            <w:strike w:val="false"/>
            <w:color w:val="0000ff"/>
          </w:rPr>
          <w:t xml:space="preserve">приложению N 4</w:t>
        </w:r>
      </w:hyperlink>
      <w:r>
        <w:rPr>
          <w:b w:val="false"/>
          <w:rFonts w:ascii="Times New Roman" w:eastAsia="Times New Roman" w:hAnsi="Times New Roman" w:cs="Times New Roman"/>
          <w:sz w:val="24"/>
          <w:i w:val="false"/>
          <w:strike w:val="false"/>
        </w:rPr>
        <w:t xml:space="preserve"> к Приказу Минздрава России от 28.05.2001 N 176).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Журнал ведется ответственным лицом, назначенным приказом главного врача центра госсанэпиднадзора.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w:t>
      </w:r>
      <w:hyperlink r:id="rId31">
        <w:r>
          <w:rPr>
            <w:b w:val="false"/>
            <w:rFonts w:ascii="Times New Roman" w:eastAsia="Times New Roman" w:hAnsi="Times New Roman" w:cs="Times New Roman"/>
            <w:sz w:val="24"/>
            <w:i w:val="false"/>
            <w:strike w:val="false"/>
            <w:color w:val="0000ff"/>
          </w:rPr>
          <w:t xml:space="preserve">Журнал</w:t>
        </w:r>
      </w:hyperlink>
      <w:r>
        <w:rPr>
          <w:b w:val="false"/>
          <w:rFonts w:ascii="Times New Roman" w:eastAsia="Times New Roman" w:hAnsi="Times New Roman" w:cs="Times New Roman"/>
          <w:sz w:val="24"/>
          <w:i w:val="false"/>
          <w:strike w:val="false"/>
        </w:rPr>
        <w:t xml:space="preserve"> заполняется на основании данных извещений об установлении, изменении, уточнении, отмене диагнозов профессиональных заболеваний (отравлений), актов о случаях профессиональных заболеваний (отравлений), а также полученных дополнительных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Центры госсанэпиднадзора на основании актов расследования случаев профессиональных заболеваний (отравлений), </w:t>
      </w:r>
      <w:hyperlink r:id="rId31">
        <w:r>
          <w:rPr>
            <w:b w:val="false"/>
            <w:rFonts w:ascii="Times New Roman" w:eastAsia="Times New Roman" w:hAnsi="Times New Roman" w:cs="Times New Roman"/>
            <w:sz w:val="24"/>
            <w:i w:val="false"/>
            <w:strike w:val="false"/>
            <w:color w:val="0000ff"/>
          </w:rPr>
          <w:t xml:space="preserve">Журнала</w:t>
        </w:r>
      </w:hyperlink>
      <w:r>
        <w:rPr>
          <w:b w:val="false"/>
          <w:rFonts w:ascii="Times New Roman" w:eastAsia="Times New Roman" w:hAnsi="Times New Roman" w:cs="Times New Roman"/>
          <w:sz w:val="24"/>
          <w:i w:val="false"/>
          <w:strike w:val="false"/>
        </w:rPr>
        <w:t xml:space="preserve"> учета профессиональных заболеваний (отравлений) заполняют Карты учета профессионального заболевания (отравления) (по форме согласно </w:t>
      </w:r>
      <w:hyperlink r:id="rId11">
        <w:r>
          <w:rPr>
            <w:b w:val="false"/>
            <w:rFonts w:ascii="Times New Roman" w:eastAsia="Times New Roman" w:hAnsi="Times New Roman" w:cs="Times New Roman"/>
            <w:sz w:val="24"/>
            <w:i w:val="false"/>
            <w:strike w:val="false"/>
            <w:color w:val="0000ff"/>
          </w:rPr>
          <w:t xml:space="preserve">приложению N 5</w:t>
        </w:r>
      </w:hyperlink>
      <w:r>
        <w:rPr>
          <w:b w:val="false"/>
          <w:rFonts w:ascii="Times New Roman" w:eastAsia="Times New Roman" w:hAnsi="Times New Roman" w:cs="Times New Roman"/>
          <w:sz w:val="24"/>
          <w:i w:val="false"/>
          <w:strike w:val="false"/>
        </w:rPr>
        <w:t xml:space="preserve"> к Приказу Минздрава России от 28.05.2001 N 176) (для последующего углубленного анализа профессиональной заболеваемости (отравлений)).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Центры госсанэпиднадзора в обязательном порядке регистрируют: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w:t>
      </w:r>
      <w:hyperlink r:id="rId32">
        <w:r>
          <w:rPr>
            <w:b w:val="false"/>
            <w:rFonts w:ascii="Times New Roman" w:eastAsia="Times New Roman" w:hAnsi="Times New Roman" w:cs="Times New Roman"/>
            <w:sz w:val="24"/>
            <w:i w:val="false"/>
            <w:strike w:val="false"/>
            <w:color w:val="0000ff"/>
          </w:rPr>
          <w:t xml:space="preserve">извещение</w:t>
        </w:r>
      </w:hyperlink>
      <w:r>
        <w:rPr>
          <w:b w:val="false"/>
          <w:rFonts w:ascii="Times New Roman" w:eastAsia="Times New Roman" w:hAnsi="Times New Roman" w:cs="Times New Roman"/>
          <w:sz w:val="24"/>
          <w:i w:val="false"/>
          <w:strike w:val="false"/>
        </w:rPr>
        <w:t xml:space="preserve"> об установлении предварительного диагноза острого или хронического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w:t>
      </w:r>
      <w:hyperlink r:id="rId33">
        <w:r>
          <w:rPr>
            <w:b w:val="false"/>
            <w:rFonts w:ascii="Times New Roman" w:eastAsia="Times New Roman" w:hAnsi="Times New Roman" w:cs="Times New Roman"/>
            <w:sz w:val="24"/>
            <w:i w:val="false"/>
            <w:strike w:val="false"/>
            <w:color w:val="0000ff"/>
          </w:rPr>
          <w:t xml:space="preserve">извещение</w:t>
        </w:r>
      </w:hyperlink>
      <w:r>
        <w:rPr>
          <w:b w:val="false"/>
          <w:rFonts w:ascii="Times New Roman" w:eastAsia="Times New Roman" w:hAnsi="Times New Roman" w:cs="Times New Roman"/>
          <w:sz w:val="24"/>
          <w:i w:val="false"/>
          <w:strike w:val="false"/>
        </w:rPr>
        <w:t xml:space="preserve"> об установлении заключительного диагноза острого или хронического профессионального заболевания (отравления), его уточнении или отмене;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санитарно-гигиеническую характеристику условий труда работника при подозрении у него профессионального заболевания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случае профессионального заболевания (отравления).</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36"/>
      <w:footerReference w:type="default" r:id="rId3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2">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Минздрава РФ от 28.05.2001 N 176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15.08.2011)</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совершенствовании системы расследования и учета професси...</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Минздрава РФ от 28.05.2001 N 176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15.08.2011)</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совершенствовании системы расследования и учета професси...</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Минздрава РФ от 28.05.2001 N 176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15.08.2011)</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совершенствовании системы расследования и учета професси...</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119713&amp;date=12.02.2025&amp;dst=100006&amp;field=134%20\o%20&#1055;&#1088;&#1080;&#1082;&#1072;&#1079;%20&#1052;&#1080;&#1085;&#1079;&#1076;&#1088;&#1072;&#1074;&#1089;&#1086;&#1094;&#1088;&#1072;&#1079;&#1074;&#1080;&#1090;&#1080;&#1103;%20&#1056;&#1060;%20&#1086;&#1090;%2015.08.2011%20N%20918&#1085;%20\&#1054;%20&#1074;&#1085;&#1077;&#1089;&#1077;&#1085;&#1080;&#1080;%20&#1080;&#1079;&#1084;&#1077;&#1085;&#1077;&#1085;&#1080;&#1081;%20&#1074;%20&#1087;&#1088;&#1080;&#1083;&#1086;&#1078;&#1077;&#1085;&#1080;&#1077;%20N%202%20&#1082;%20&#1055;&#1088;&#1080;&#1082;&#1072;&#1079;&#1091;%20&#1052;&#1080;&#1085;&#1080;&#1089;&#1090;&#1077;&#1088;&#1089;&#1090;&#1074;&#1072;%20&#1079;&#1076;&#1088;&#1072;&#1074;&#1086;&#1086;&#1093;&#1088;&#1072;&#1085;&#1077;&#1085;&#1080;&#1103;%20&#1056;&#1086;&#1089;&#1089;&#1080;&#1081;&#1089;&#1082;&#1086;&#1081;%20&#1060;&#1077;&#1076;&#1077;&#1088;&#1072;&#1094;&#1080;&#1080;%20&#1086;&#1090;%2028%20&#1084;&#1072;&#1103;%202001%20&#1075;.%20N%20176\%20(&#1047;&#1072;&#1088;&#1077;&#1075;&#1080;&#1089;&#1090;&#1088;&#1080;&#1088;&#1086;&#1074;&#1072;&#1085;&#1086;%20&#1074;%20&#1052;&#1080;&#1085;&#1102;&#1089;&#1090;&#1077;%20&#1056;&#1060;%2022.09.2011%20N%2021870)&lt;w:br%20w:type=textWrapping%20w:clear=none/&gt;{&#1050;&#1086;&#1085;&#1089;&#1091;&#1083;&#1100;&#1090;&#1072;&#1085;&#1090;&#1055;&#1083;&#1102;&#1089;}" TargetMode="External"/><Relationship Id="rId5" Type="http://schemas.openxmlformats.org/officeDocument/2006/relationships/hyperlink" Target="https://login.consultant.ru/link/?req=doc&amp;base=LAW&amp;n=357669&amp;date=12.02.2025&amp;dst=100006&amp;field=134%20\o%20&#1055;&#1086;&#1089;&#1090;&#1072;&#1085;&#1086;&#1074;&#1083;&#1077;&#1085;&#1080;&#1077;%20&#1055;&#1088;&#1072;&#1074;&#1080;&#1090;&#1077;&#1083;&#1100;&#1089;&#1090;&#1074;&#1072;%20&#1056;&#1060;%20&#1086;&#1090;%2015.12.2000%20N%20967%20(&#1088;&#1077;&#1076;.%20&#1086;&#1090;%2010.07.2020)%20\&#1054;&#1073;%20&#1091;&#1090;&#1074;&#1077;&#1088;&#1078;&#1076;&#1077;&#1085;&#1080;&#1080;%20&#1055;&#1086;&#1083;&#1086;&#1078;&#1077;&#1085;&#1080;&#1103;%20&#1086;%20&#1088;&#1072;&#1089;&#1089;&#1083;&#1077;&#1076;&#1086;&#1074;&#1072;&#1085;&#1080;&#1080;%20&#1080;%20&#1091;&#1095;&#1077;&#1090;&#1077;%20&#1087;&#1088;&#1086;&#1092;&#1077;&#1089;&#1089;&#1080;&#1086;&#1085;&#1072;&#1083;&#1100;&#1085;&#1099;&#1093;%20&#1079;&#1072;&#1073;&#1086;&#1083;&#1077;&#1074;&#1072;&#1085;&#1080;&#1081;\&lt;w:br%20w:type=textWrapping%20w:clear=none/&gt;------------%20&#1059;&#1090;&#1088;&#1072;&#1090;&#1080;&#1083;%20&#1089;&#1080;&#1083;&#1091;%20&#1080;&#1083;&#1080;%20&#1086;&#1090;&#1084;&#1077;&#1085;&#1077;&#1085;&lt;w:br%20w:type=textWrapping%20w:clear=none/&gt;{&#1050;&#1086;&#1085;&#1089;&#1091;&#1083;&#1100;&#1090;&#1072;&#1085;&#1090;&#1055;&#1083;&#1102;&#1089;}" TargetMode="External"/><Relationship Id="rId6" Type="http://schemas.openxmlformats.org/officeDocument/2006/relationships/hyperlink" Target="\l%20Par40%20%20\o%20&#1055;&#1088;&#1080;&#1083;&#1086;&#1078;&#1077;&#1085;&#1080;&#1077;%20N%201" TargetMode="External"/><Relationship Id="rId7" Type="http://schemas.openxmlformats.org/officeDocument/2006/relationships/hyperlink" Target="https://login.consultant.ru/link/?req=doc&amp;base=LAW&amp;n=76547&amp;date=12.02.2025&amp;dst=100014&amp;field=134%20\o%20&#1055;&#1088;&#1080;&#1082;&#1072;&#1079;%20&#1056;&#1086;&#1089;&#1087;&#1086;&#1090;&#1088;&#1077;&#1073;&#1085;&#1072;&#1076;&#1079;&#1086;&#1088;&#1072;%20&#1086;&#1090;%2031.03.2008%20N%20103%20\&#1054;&#1073;%20&#1091;&#1090;&#1074;&#1077;&#1088;&#1078;&#1076;&#1077;&#1085;&#1080;&#1080;%20&#1080;&#1085;&#1089;&#1090;&#1088;&#1091;&#1082;&#1094;&#1080;&#1080;%20&#1087;&#1086;%20&#1089;&#1086;&#1089;&#1090;&#1072;&#1074;&#1083;&#1077;&#1085;&#1080;&#1102;%20&#1089;&#1072;&#1085;&#1080;&#1090;&#1072;&#1088;&#1085;&#1086;-&#1075;&#1080;&#1075;&#1080;&#1077;&#1085;&#1080;&#1095;&#1077;&#1089;&#1082;&#1086;&#1081;%20&#1093;&#1072;&#1088;&#1072;&#1082;&#1090;&#1077;&#1088;&#1080;&#1089;&#1090;&#1080;&#1082;&#1080;%20&#1091;&#1089;&#1083;&#1086;&#1074;&#1080;&#1081;%20&#1090;&#1088;&#1091;&#1076;&#1072;%20&#1088;&#1072;&#1073;&#1086;&#1090;&#1085;&#1080;&#1082;&#1072;%20&#1087;&#1088;&#1080;%20&#1087;&#1086;&#1076;&#1086;&#1079;&#1088;&#1077;&#1085;&#1080;&#1080;%20&#1091;%20&#1085;&#1077;&#1075;&#1086;%20&#1087;&#1088;&#1086;&#1092;&#1077;&#1089;&#1089;&#1080;&#1086;&#1085;&#1072;&#1083;&#1100;&#1085;&#1086;&#1075;&#1086;%20&#1079;&#1072;&#1073;&#1086;&#1083;&#1077;&#1074;&#1072;&#1085;&#1080;&#1103;\%20(&#1047;&#1072;&#1088;&#1077;&#1075;&#1080;&#1089;&#1090;&#1088;&#1080;&#1088;&#1086;&#1074;&#1072;&#1085;&#1086;%20&#1074;%20&#1052;&#1080;&#1085;&#1102;&#1089;&#1090;&#1077;%20&#1056;&#1060;%2022.04.2008%20N%2011577)&lt;w:br%20w:type=textWrapping%20w:clear=none/&gt;{&#1050;&#1086;&#1085;&#1089;&#1091;&#1083;&#1100;&#1090;&#1072;&#1085;&#1090;&#1055;&#1083;&#1102;&#1089;}" TargetMode="External"/><Relationship Id="rId8" Type="http://schemas.openxmlformats.org/officeDocument/2006/relationships/hyperlink" Target="\l%20Par111%20%20\o%20&#1055;&#1088;&#1080;&#1083;&#1086;&#1078;&#1077;&#1085;&#1080;&#1077;%20N%202" TargetMode="External"/><Relationship Id="rId9" Type="http://schemas.openxmlformats.org/officeDocument/2006/relationships/hyperlink" Target="\l%20Par468%20%20\o%20&#1055;&#1088;&#1080;&#1083;&#1086;&#1078;&#1077;&#1085;&#1080;&#1077;%20N%203" TargetMode="External"/><Relationship Id="rId10" Type="http://schemas.openxmlformats.org/officeDocument/2006/relationships/hyperlink" Target="\l%20Par534%20%20\o%20&#1055;&#1088;&#1080;&#1083;&#1086;&#1078;&#1077;&#1085;&#1080;&#1077;%20N%204" TargetMode="External"/><Relationship Id="rId11" Type="http://schemas.openxmlformats.org/officeDocument/2006/relationships/hyperlink" Target="\l%20Par601%20%20\o%20&#1055;&#1088;&#1080;&#1083;&#1086;&#1078;&#1077;&#1085;&#1080;&#1077;%20N%205" TargetMode="External"/><Relationship Id="rId12" Type="http://schemas.openxmlformats.org/officeDocument/2006/relationships/hyperlink" Target="https://login.consultant.ru/link/?req=doc&amp;base=LAW&amp;n=357669&amp;date=12.02.2025&amp;dst=100009&amp;field=134%20\o%20&#1055;&#1086;&#1089;&#1090;&#1072;&#1085;&#1086;&#1074;&#1083;&#1077;&#1085;&#1080;&#1077;%20&#1055;&#1088;&#1072;&#1074;&#1080;&#1090;&#1077;&#1083;&#1100;&#1089;&#1090;&#1074;&#1072;%20&#1056;&#1060;%20&#1086;&#1090;%2015.12.2000%20N%20967%20(&#1088;&#1077;&#1076;.%20&#1086;&#1090;%2010.07.2020)%20\&#1054;&#1073;%20&#1091;&#1090;&#1074;&#1077;&#1088;&#1078;&#1076;&#1077;&#1085;&#1080;&#1080;%20&#1055;&#1086;&#1083;&#1086;&#1078;&#1077;&#1085;&#1080;&#1103;%20&#1086;%20&#1088;&#1072;&#1089;&#1089;&#1083;&#1077;&#1076;&#1086;&#1074;&#1072;&#1085;&#1080;&#1080;%20&#1080;%20&#1091;&#1095;&#1077;&#1090;&#1077;%20&#1087;&#1088;&#1086;&#1092;&#1077;&#1089;&#1089;&#1080;&#1086;&#1085;&#1072;&#1083;&#1100;&#1085;&#1099;&#1093;%20&#1079;&#1072;&#1073;&#1086;&#1083;&#1077;&#1074;&#1072;&#1085;&#1080;&#1081;\&lt;w:br%20w:type=textWrapping%20w:clear=none/&gt;------------%20&#1059;&#1090;&#1088;&#1072;&#1090;&#1080;&#1083;%20&#1089;&#1080;&#1083;&#1091;%20&#1080;&#1083;&#1080;%20&#1086;&#1090;&#1084;&#1077;&#1085;&#1077;&#1085;&lt;w:br%20w:type=textWrapping%20w:clear=none/&gt;{&#1050;&#1086;&#1085;&#1089;&#1091;&#1083;&#1100;&#1090;&#1072;&#1085;&#1090;&#1055;&#1083;&#1102;&#1089;}" TargetMode="External"/><Relationship Id="rId13" Type="http://schemas.openxmlformats.org/officeDocument/2006/relationships/hyperlink" Target="\l%20Par701%20%20\o%20&#1055;&#1088;&#1080;&#1083;&#1086;&#1078;&#1077;&#1085;&#1080;&#1077;%20N%206" TargetMode="External"/><Relationship Id="rId14" Type="http://schemas.openxmlformats.org/officeDocument/2006/relationships/hyperlink" Target="https://login.consultant.ru/link/?req=doc&amp;base=LAW&amp;n=491130&amp;date=12.02.2025%20\o%20\&#1054;&#1050;%20011-93.%20&#1054;&#1073;&#1097;&#1077;&#1088;&#1086;&#1089;&#1089;&#1080;&#1081;&#1089;&#1082;&#1080;&#1081;%20&#1082;&#1083;&#1072;&#1089;&#1089;&#1080;&#1092;&#1080;&#1082;&#1072;&#1090;&#1086;&#1088;%20&#1091;&#1087;&#1088;&#1072;&#1074;&#1083;&#1077;&#1085;&#1095;&#1077;&#1089;&#1082;&#1086;&#1081;%20&#1076;&#1086;&#1082;&#1091;&#1084;&#1077;&#1085;&#1090;&#1072;&#1094;&#1080;&#1080;\%20(&#1091;&#1090;&#1074;.%20&#1055;&#1086;&#1089;&#1090;&#1072;&#1085;&#1086;&#1074;&#1083;&#1077;&#1085;&#1080;&#1077;&#1084;%20&#1043;&#1086;&#1089;&#1089;&#1090;&#1072;&#1085;&#1076;&#1072;&#1088;&#1090;&#1072;%20&#1056;&#1086;&#1089;&#1089;&#1080;&#1080;%20&#1086;&#1090;%2030.12.1993%20N%20299)%20(&#1088;&#1077;&#1076;.%20&#1086;&#1090;%2013.09.2024)&lt;w:br%20w:type=textWrapping%20w:clear=none/&gt;{&#1050;&#1086;&#1085;&#1089;&#1091;&#1083;&#1100;&#1090;&#1072;&#1085;&#1090;&#1055;&#1083;&#1102;&#1089;}" TargetMode="External"/><Relationship Id="rId15" Type="http://schemas.openxmlformats.org/officeDocument/2006/relationships/hyperlink" Target="https://login.consultant.ru/link/?req=doc&amp;base=LAW&amp;n=458803&amp;date=12.02.2025&amp;dst=100008&amp;field=134%20\o%20&#1055;&#1086;&#1089;&#1090;&#1072;&#1085;&#1086;&#1074;&#1083;&#1077;&#1085;&#1080;&#1077;%20&#1043;&#1086;&#1089;&#1089;&#1090;&#1072;&#1085;&#1076;&#1072;&#1088;&#1090;&#1072;%20&#1056;&#1086;&#1089;&#1089;&#1080;&#1080;%20&#1086;&#1090;%2030.03.1999%20N%2097%20(&#1088;&#1077;&#1076;.%20&#1086;&#1090;%2022.09.2023)%20\&#1054;%20&#1087;&#1088;&#1080;&#1085;&#1103;&#1090;&#1080;&#1080;%20&#1080;%20&#1074;&#1074;&#1077;&#1076;&#1077;&#1085;&#1080;&#1080;%20&#1074;%20&#1076;&#1077;&#1081;&#1089;&#1090;&#1074;&#1080;&#1077;%20&#1054;&#1073;&#1097;&#1077;&#1088;&#1086;&#1089;&#1089;&#1080;&#1081;&#1089;&#1082;&#1080;&#1093;%20&#1082;&#1083;&#1072;&#1089;&#1089;&#1080;&#1092;&#1080;&#1082;&#1072;&#1090;&#1086;&#1088;&#1086;&#1074;\%20(&#1074;&#1084;&#1077;&#1089;&#1090;&#1077;%20&#1089;%20\&#1054;&#1050;%20027-99.%20&#1054;&#1073;&#1097;&#1077;&#1088;&#1086;&#1089;&#1089;&#1080;&#1081;&#1089;&#1082;&#1080;&#1081;%20&#1082;&#1083;&#1072;&#1089;&#1089;&#1080;&#1092;&#1080;&#1082;&#1072;&#1090;&#1086;&#1088;%20&#1092;&#1086;&#1088;&#1084;%20&#1089;&#1086;&#1073;&#1089;&#1090;&#1074;&#1077;&#1085;&#1085;&#1086;&#1089;&#1090;&#1080;\)%20(&#1076;&#1072;&#1090;&#1072;%20&#1074;&#1074;&#1077;&#1076;&#1077;&#1085;&#1080;&#1103;%2001.01.2000)&lt;w:br%20w:type=textWrapping%20w:clear=none/&gt;{&#1050;&#1086;&#1085;&#1089;&#1091;&#1083;&#1100;&#1090;&#1072;&#1085;&#1090;&#1055;&#1083;&#1102;&#1089;}" TargetMode="External"/><Relationship Id="rId16" Type="http://schemas.openxmlformats.org/officeDocument/2006/relationships/hyperlink" Target="https://login.consultant.ru/link/?req=doc&amp;base=LAW&amp;n=26764&amp;date=12.02.2025%20\o%20\&#1054;&#1073;&#1097;&#1077;&#1089;&#1086;&#1102;&#1079;&#1085;&#1099;&#1081;%20&#1082;&#1083;&#1072;&#1089;&#1089;&#1080;&#1092;&#1080;&#1082;&#1072;&#1090;&#1086;&#1088;%20\&#1054;&#1090;&#1088;&#1072;&#1089;&#1083;&#1080;%20&#1085;&#1072;&#1088;&#1086;&#1076;&#1085;&#1086;&#1075;&#1086;%20&#1093;&#1086;&#1079;&#1103;&#1081;&#1089;&#1090;&#1074;&#1072;\%20(&#1054;&#1050;&#1054;&#1053;&#1061;)%20(&#1091;&#1090;&#1074;.%20&#1043;&#1086;&#1089;&#1082;&#1086;&#1084;&#1089;&#1090;&#1072;&#1090;&#1086;&#1084;%20&#1057;&#1057;&#1057;&#1056;,%20&#1043;&#1086;&#1089;&#1087;&#1083;&#1072;&#1085;&#1086;&#1084;%20&#1057;&#1057;&#1057;&#1056;,%20&#1043;&#1086;&#1089;&#1089;&#1090;&#1072;&#1085;&#1076;&#1072;&#1088;&#1090;&#1086;&#1084;%20&#1057;&#1057;&#1057;&#1056;%2001.01.1976)%20(&#1088;&#1077;&#1076;.%20&#1086;&#1090;%2015.02.2000)&lt;w:br%20w:type=textWrapping%20w:clear=none/&gt;------------%20&#1059;&#1090;&#1088;&#1072;&#1090;&#1080;&#1083;%20&#1089;&#1080;&#1083;&#1091;%20&#1080;&#1083;&#1080;%20&#1086;&#1090;&#1084;&#1077;&#1085;&#1077;&#1085;&lt;w:br%20w:type=textWrapping%20w:clear=none/&gt;{&#1050;&#1086;&#1085;&#1089;&#1091;&#1083;&#1100;&#1090;&#1072;&#1085;&#1090;&#1055;&#1083;&#1102;&#1089;}" TargetMode="External"/><Relationship Id="rId17" Type="http://schemas.openxmlformats.org/officeDocument/2006/relationships/hyperlink" Target="https://login.consultant.ru/link/?req=doc&amp;base=LAW&amp;n=135996&amp;date=12.02.2025&amp;dst=100010&amp;field=134%20\o%20&#1055;&#1086;&#1089;&#1090;&#1072;&#1085;&#1086;&#1074;&#1083;&#1077;&#1085;&#1080;&#1077;%20&#1043;&#1086;&#1089;&#1089;&#1090;&#1072;&#1085;&#1076;&#1072;&#1088;&#1090;&#1072;%20&#1056;&#1060;%20&#1086;&#1090;%2026.12.1994%20N%20367%20(&#1088;&#1077;&#1076;.%20&#1086;&#1090;%2019.06.2012)%20&lt;&#1054;%20&#1087;&#1088;&#1080;&#1085;&#1103;&#1090;&#1080;&#1080;%20&#1080;%20&#1074;&#1074;&#1077;&#1076;&#1077;&#1085;&#1080;&#1080;%20&#1074;%20&#1076;&#1077;&#1081;&#1089;&#1090;&#1074;&#1080;&#1077;%20&#1054;&#1073;&#1097;&#1077;&#1088;&#1086;&#1089;&#1089;&#1080;&#1081;&#1089;&#1082;&#1086;&#1075;&#1086;%20&#1082;&#1083;&#1072;&#1089;&#1089;&#1080;&#1092;&#1080;&#1082;&#1072;&#1090;&#1086;&#1088;&#1072;%20&#1087;&#1088;&#1086;&#1092;&#1077;&#1089;&#1089;&#1080;&#1081;%20&#1088;&#1072;&#1073;&#1086;&#1095;&#1080;&#1093;,%20&#1076;&#1086;&#1083;&#1078;&#1085;&#1086;&#1089;&#1090;&#1077;&#1081;%20&#1089;&#1083;&#1091;&#1078;&#1072;&#1097;&#1080;&#1093;%20&#1080;%20&#1090;&#1072;&#1088;&#1080;&#1092;&#1085;&#1099;&#1093;%20&#1088;&#1072;&#1079;&#1088;&#1103;&#1076;&#1086;&#1074;%20&#1054;&#1050;%20016-94&gt;%20(&#1074;&#1084;&#1077;&#1089;&#1090;&#1077;%20&#1089;%20\&#1054;&#1050;%20016-94.%20&#1054;&#1073;&#1097;&#1077;&#1088;&#1086;&#1089;&#1089;&#1080;&#1081;&#1089;&#1082;&#1080;&#1081;%20&#1082;&#1083;&#1072;&#1089;&#1089;&#1080;&#1092;&#1080;&#1082;&#1072;&#1090;&#1086;&#1088;%20&#1087;&#1088;&#1086;&#1092;&#1077;&#1089;&#1089;&#1080;&#1081;%20&#1088;&#1072;&#1073;&#1086;&#1095;&#1080;&#1093;,%20&#1076;&#1086;&#1083;&#1078;&#1085;&#1086;&#1089;&#1090;&#1077;&#1081;%20&#1089;&#1083;&#1091;&#1078;&#1072;&#1097;&#1080;&#1093;%20&#1080;%20&#1090;&#1072;&#1088;&#1080;&#1092;&#1085;&#1099;&#1093;%20&#1088;&#1072;&#1079;&#1088;&#1103;&#1076;&#1086;&#1074;\)%20(&#1076;&#1072;&#1090;&#1072;%20&#1074;&#1074;&#1077;&#1076;&#1077;&#1085;&#1080;&#1103;%2001.01.1996)&lt;w:br%20w:type=textWrapping%20w:clear=none/&gt;{&#1050;&#1086;&#1085;&#1089;&#1091;&#1083;&#1100;&#1090;&#1072;&#1085;&#1090;&#1055;&#1083;&#1102;&#1089;}" TargetMode="External"/><Relationship Id="rId18" Type="http://schemas.openxmlformats.org/officeDocument/2006/relationships/hyperlink" Target="\l%20Par461%20%20\o%20&lt;*&gt;%20&#1054;&#1073;&#1103;&#1079;&#1072;&#1090;&#1077;&#1083;&#1100;&#1085;&#1086;%20&#1079;&#1072;&#1087;&#1086;&#1083;&#1085;&#1103;&#1077;&#1090;&#1089;&#1103;%20&#1074;%20&#1089;&#1083;&#1091;&#1095;&#1072;&#1077;%20&#1087;&#1086;&#1076;&#1086;&#1079;&#1088;&#1077;&#1085;&#1080;&#1103;%20&#1085;&#1072;%20&#1087;&#1088;&#1086;&#1092;&#1077;&#1089;&#1089;&#1080;&#1086;&#1085;&#1072;&#1083;&#1100;&#1085;&#1086;&#1077;%20&#1079;&#1072;&#1073;&#1086;&#1083;&#1077;&#1074;&#1072;&#1085;&#1080;&#1077;%20&#1082;&#1086;&#1089;&#1090;&#1085;&#1086;-&#1084;&#1099;&#1096;&#1077;&#1095;&#1085;&#1086;&#1081;%20&#1080;&#1083;&#1080;%20&#1087;&#1077;&#1088;&#1080;&#1092;&#1077;&#1088;&#1080;&#1095;&#1077;&#1089;&#1082;&#1086;&#1081;%20&#1085;&#1077;&#1088;&#1074;&#1085;&#1086;&#1081;%20&#1089;&#1080;&#1089;&#1090;&#1077;&#1084;&#1099;,%20&#1072;%20&#1090;&#1072;&#1082;&#1078;&#1077;%20&#1087;&#1088;&#1080;%20&#1089;&#1084;&#1077;&#1096;&#1072;&#1085;&#1085;&#1099;&#1093;%20&#1092;&#1086;&#1088;&#1084;&#1072;&#1093;.%20&#1055;&#1088;&#1080;%20&#1086;&#1090;&#1089;&#1091;&#1090;&#1089;&#1090;&#1074;&#1080;&#1080;%20&#1090;&#1072;&#1082;&#1086;&#1075;&#1086;%20&#1076;&#1080;&#1072;&#1075;&#1085;&#1086;&#1079;&#1072;%20&#1076;&#1086;&#1087;&#1091;&#1089;&#1082;&#1072;&#1077;&#1090;&#1089;&#1103;%20&#1091;&#1082;&#1072;&#1079;&#1072;&#1090;&#1100;%20&#1086;&#1073;&#1097;&#1080;&#1081;%20&#1082;&#1083;&#1072;&#1089;&#1089;%20&#1090;&#1103;&#1078;&#1077;&#1089;&#1090;&#1080;%20&#1087;&#1086;%20&#1087;&#1088;&#1080;&#1086;&#1088;&#1080;&#1090;&#1077;&#1090;&#1085;&#1099;&#1084;%20&#1087;&#1088;&#1080;&#1079;&#1085;&#1072;&#1082;&#1072;&#1084;." TargetMode="External"/><Relationship Id="rId19" Type="http://schemas.openxmlformats.org/officeDocument/2006/relationships/hyperlink" Target="\l%20Par462%20%20\o%20&lt;**&gt;%20&#1044;&#1086;&#1087;&#1091;&#1089;&#1082;&#1072;&#1077;&#1090;&#1089;&#1103;%20&#1091;&#1082;&#1072;&#1079;&#1072;&#1090;&#1100;%20&#1082;&#1083;&#1072;&#1089;&#1089;%20&#1085;&#1072;&#1087;&#1088;&#1103;&#1078;&#1077;&#1085;&#1085;&#1086;&#1089;&#1090;&#1080;%20&#1087;&#1086;%20&#1089;&#1086;&#1074;&#1086;&#1082;&#1091;&#1087;&#1085;&#1086;&#1089;&#1090;&#1080;%20&#1089;&#1086;&#1089;&#1090;&#1072;&#1074;&#1083;&#1103;&#1102;&#1097;&#1080;&#1093;%20&#1093;&#1072;&#1088;&#1072;&#1082;&#1090;&#1077;&#1088;&#1080;&#1089;&#1090;&#1080;&#1082;." TargetMode="External"/><Relationship Id="rId21" Type="http://schemas.openxmlformats.org/officeDocument/2006/relationships/header" Target="header1.xml"/><Relationship Id="rId23" Type="http://schemas.openxmlformats.org/officeDocument/2006/relationships/footer" Target="footer1.xml"/><Relationship Id="rId25" Type="http://schemas.openxmlformats.org/officeDocument/2006/relationships/header" Target="header2.xml"/><Relationship Id="rId27" Type="http://schemas.openxmlformats.org/officeDocument/2006/relationships/footer" Target="footer2.xml"/><Relationship Id="rId28" Type="http://schemas.openxmlformats.org/officeDocument/2006/relationships/hyperlink" Target="https://login.consultant.ru/link/?req=doc&amp;base=LAW&amp;n=494620&amp;date=12.02.2025%20\o%20&#1060;&#1077;&#1076;&#1077;&#1088;&#1072;&#1083;&#1100;&#1085;&#1099;&#1081;%20&#1079;&#1072;&#1082;&#1086;&#1085;%20&#1086;&#1090;%2030.03.1999%20N%2052-&#1060;&#1047;%20(&#1088;&#1077;&#1076;.%20&#1086;&#1090;%2026.12.2024)%20\&#1054;%20&#1089;&#1072;&#1085;&#1080;&#1090;&#1072;&#1088;&#1085;&#1086;-&#1101;&#1087;&#1080;&#1076;&#1077;&#1084;&#1080;&#1086;&#1083;&#1086;&#1075;&#1080;&#1095;&#1077;&#1089;&#1082;&#1086;&#1084;%20&#1073;&#1083;&#1072;&#1075;&#1086;&#1087;&#1086;&#1083;&#1091;&#1095;&#1080;&#1080;%20&#1085;&#1072;&#1089;&#1077;&#1083;&#1077;&#1085;&#1080;&#1103;\&lt;w:br%20w:type=textWrapping%20w:clear=none/&gt;{&#1050;&#1086;&#1085;&#1089;&#1091;&#1083;&#1100;&#1090;&#1072;&#1085;&#1090;&#1055;&#1083;&#1102;&#1089;}" TargetMode="External"/><Relationship Id="rId29" Type="http://schemas.openxmlformats.org/officeDocument/2006/relationships/hyperlink" Target="https://login.consultant.ru/link/?req=doc&amp;base=LAW&amp;n=421320&amp;date=12.02.2025&amp;dst=100121&amp;field=134%20\o%20&#1055;&#1086;&#1089;&#1090;&#1072;&#1085;&#1086;&#1074;&#1083;&#1077;&#1085;&#1080;&#1077;%20&#1055;&#1088;&#1072;&#1074;&#1080;&#1090;&#1077;&#1083;&#1100;&#1089;&#1090;&#1074;&#1072;%20&#1056;&#1060;%20&#1086;&#1090;%2005.07.2022%20N%201206%20\&#1054;%20&#1087;&#1086;&#1088;&#1103;&#1076;&#1082;&#1077;%20&#1088;&#1072;&#1089;&#1089;&#1083;&#1077;&#1076;&#1086;&#1074;&#1072;&#1085;&#1080;&#1103;%20&#1080;%20&#1091;&#1095;&#1077;&#1090;&#1072;%20&#1089;&#1083;&#1091;&#1095;&#1072;&#1077;&#1074;%20&#1087;&#1088;&#1086;&#1092;&#1077;&#1089;&#1089;&#1080;&#1086;&#1085;&#1072;&#1083;&#1100;&#1085;&#1099;&#1093;%20&#1079;&#1072;&#1073;&#1086;&#1083;&#1077;&#1074;&#1072;&#1085;&#1080;&#1081;%20&#1088;&#1072;&#1073;&#1086;&#1090;&#1085;&#1080;&#1082;&#1086;&#1074;\%20(&#1074;&#1084;&#1077;&#1089;&#1090;&#1077;%20&#1089;%20\&#1055;&#1088;&#1072;&#1074;&#1080;&#1083;&#1072;&#1084;&#1080;%20&#1088;&#1072;&#1089;&#1089;&#1083;&#1077;&#1076;&#1086;&#1074;&#1072;&#1085;&#1080;&#1103;%20&#1080;%20&#1091;&#1095;&#1077;&#1090;&#1072;%20&#1089;&#1083;&#1091;&#1095;&#1072;&#1077;&#1074;%20&#1087;&#1088;&#1086;&#1092;&#1077;&#1089;&#1089;&#1080;&#1086;&#1085;&#1072;&#1083;&#1100;&#1085;&#1099;&#1093;%20&#1079;&#1072;&#1073;&#1086;&#1083;&#1077;&#1074;&#1072;&#1085;&#1080;&#1081;%20&#1088;&#1072;&#1073;&#1086;&#1090;&#1085;&#1080;&#1082;&#1086;&#1074;\)&lt;w:br%20w:type=textWrapping%20w:clear=none/&gt;{&#1050;&#1086;&#1085;&#1089;&#1091;&#1083;&#1100;&#1090;&#1072;&#1085;&#1090;&#1055;&#1083;&#1102;&#1089;}" TargetMode="External"/><Relationship Id="rId30" Type="http://schemas.openxmlformats.org/officeDocument/2006/relationships/hyperlink" Target="https://login.consultant.ru/link/?req=doc&amp;base=LAW&amp;n=30618&amp;date=12.02.2025&amp;dst=103272&amp;field=134%20\o%20&#1055;&#1088;&#1080;&#1082;&#1072;&#1079;%20&#1052;&#1080;&#1085;&#1079;&#1076;&#1088;&#1072;&#1074;&#1084;&#1077;&#1076;&#1087;&#1088;&#1086;&#1084;&#1072;%20&#1056;&#1060;%20&#1086;&#1090;%2014.03.1996%20N%2090%20(&#1088;&#1077;&#1076;.%20&#1086;&#1090;%2006.02.2001)%20\&#1054;%20&#1087;&#1086;&#1088;&#1103;&#1076;&#1082;&#1077;%20&#1087;&#1088;&#1086;&#1074;&#1077;&#1076;&#1077;&#1085;&#1080;&#1103;%20&#1087;&#1088;&#1077;&#1076;&#1074;&#1072;&#1088;&#1080;&#1090;&#1077;&#1083;&#1100;&#1085;&#1099;&#1093;%20&#1080;%20&#1087;&#1077;&#1088;&#1080;&#1086;&#1076;&#1080;&#1095;&#1077;&#1089;&#1082;&#1080;&#1093;%20&#1084;&#1077;&#1076;&#1080;&#1094;&#1080;&#1085;&#1089;&#1082;&#1080;&#1093;%20&#1086;&#1089;&#1084;&#1086;&#1090;&#1088;&#1086;&#1074;%20&#1088;&#1072;&#1073;&#1086;&#1090;&#1085;&#1080;&#1082;&#1086;&#1074;%20&#1080;%20&#1084;&#1077;&#1076;&#1080;&#1094;&#1080;&#1085;&#1089;&#1082;&#1080;&#1093;%20&#1088;&#1077;&#1075;&#1083;&#1072;&#1084;&#1077;&#1085;&#1090;&#1072;&#1093;%20&#1076;&#1086;&#1087;&#1091;&#1089;&#1082;&#1072;%20&#1082;%20&#1087;&#1088;&#1086;&#1092;&#1077;&#1089;&#1089;&#1080;&#1080;\&lt;w:br%20w:type=textWrapping%20w:clear=none/&gt;------------%20&#1059;&#1090;&#1088;&#1072;&#1090;&#1080;&#1083;%20&#1089;&#1080;&#1083;&#1091;%20&#1080;&#1083;&#1080;%20&#1086;&#1090;&#1084;&#1077;&#1085;&#1077;&#1085;&lt;w:br%20w:type=textWrapping%20w:clear=none/&gt;{&#1050;&#1086;&#1085;&#1089;&#1091;&#1083;&#1100;&#1090;&#1072;&#1085;&#1090;&#1055;&#1083;&#1102;&#1089;}" TargetMode="External"/><Relationship Id="rId31" Type="http://schemas.openxmlformats.org/officeDocument/2006/relationships/hyperlink" Target="\l%20Par554%20%20\o%20%20%20%20%20%20%20%20%20%20%20%20%20%20%20%20%20%20%20%20%20%20%20%20%20%20%20%20%20%20%20&#1046;&#1059;&#1056;&#1053;&#1040;&#1051;" TargetMode="External"/><Relationship Id="rId32" Type="http://schemas.openxmlformats.org/officeDocument/2006/relationships/hyperlink" Target="\l%20Par53%20%20\o%20%20%20%20%20%20%20%20%20%20%20%20%20%20%20%20%20%20%20%20%20%20%20%20%20%20%20%20%20&#1048;&#1047;&#1042;&#1045;&#1065;&#1045;&#1053;&#1048;&#1045;" TargetMode="External"/><Relationship Id="rId33" Type="http://schemas.openxmlformats.org/officeDocument/2006/relationships/hyperlink" Target="\l%20Par480%20%20\o%20%20%20%20%20%20%20%20%20%20%20%20%20%20%20%20%20%20%20%20%20%20%20%20%20%20%20%20%20&#1048;&#1047;&#1042;&#1045;&#1065;&#1045;&#1053;&#1048;&#1045;" TargetMode="External"/><Relationship Id="rId34" Type="http://schemas.openxmlformats.org/officeDocument/2006/relationships/theme" Target="theme/theme1.xml"/><Relationship Id="rId36"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otnotes" Target="footnotes.xml"/><Relationship Id="rId40" Type="http://schemas.openxmlformats.org/officeDocument/2006/relationships/endnotes" Target="endnotes.xml"/><Relationship Id="rId41" Type="http://schemas.openxmlformats.org/officeDocument/2006/relationships/styles" Target="styles.xml"/><Relationship Id="rId42" Type="http://schemas.openxmlformats.org/officeDocument/2006/relationships/fontTable" Target="fontTable.xml"/><Relationship Id="rId45" Type="http://schemas.openxmlformats.org/officeDocument/2006/relationships/settings" Target="settings.xml"/></Relationships>
</file>

<file path=word/_rels/footer1.xml.rels><?xml version="1.0" encoding="UTF-8" standalone="yes"?>
<Relationships xmlns="http://schemas.openxmlformats.org/package/2006/relationships"><Relationship Id="rId22"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26"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37"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0"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4"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35"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РФ от 28.05.2001 N 176(ред. от 15.08.2011)"О совершенствовании системы расследования и учета профессиональных заболеваний в Российской Федерации"(вместе с "Инструкцией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967")(Зарегистрировано в Минюсте РФ 27.07.2001 N 2828)</dc:title>
</cp:coreProperties>
</file>